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5000" w:type="pct"/>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1666" w:type="pct"/>
          </w:tcPr>
          <w:p>
            <w:pPr>
              <w:adjustRightInd w:val="0"/>
              <w:snapToGrid w:val="0"/>
              <w:spacing w:line="440" w:lineRule="exact"/>
              <w:rPr>
                <w:rFonts w:eastAsia="宋体"/>
                <w:sz w:val="24"/>
              </w:rPr>
            </w:pPr>
            <w:r>
              <w:rPr>
                <w:rFonts w:eastAsia="宋体"/>
                <w:sz w:val="24"/>
              </w:rPr>
              <w:t>证券代码：000881</w:t>
            </w:r>
          </w:p>
        </w:tc>
        <w:tc>
          <w:tcPr>
            <w:tcW w:w="1667" w:type="pct"/>
          </w:tcPr>
          <w:p>
            <w:pPr>
              <w:adjustRightInd w:val="0"/>
              <w:snapToGrid w:val="0"/>
              <w:spacing w:line="440" w:lineRule="exact"/>
              <w:jc w:val="center"/>
              <w:rPr>
                <w:rFonts w:eastAsia="宋体"/>
                <w:sz w:val="24"/>
              </w:rPr>
            </w:pPr>
            <w:r>
              <w:rPr>
                <w:rFonts w:eastAsia="宋体"/>
                <w:sz w:val="24"/>
              </w:rPr>
              <w:t>证券简称：中广核技</w:t>
            </w:r>
          </w:p>
        </w:tc>
        <w:tc>
          <w:tcPr>
            <w:tcW w:w="1667" w:type="pct"/>
          </w:tcPr>
          <w:p>
            <w:pPr>
              <w:adjustRightInd w:val="0"/>
              <w:snapToGrid w:val="0"/>
              <w:spacing w:line="440" w:lineRule="exact"/>
              <w:jc w:val="right"/>
              <w:rPr>
                <w:rFonts w:hint="default" w:eastAsia="宋体"/>
                <w:sz w:val="24"/>
                <w:lang w:val="en-US" w:eastAsia="zh-CN"/>
              </w:rPr>
            </w:pPr>
            <w:r>
              <w:rPr>
                <w:rFonts w:eastAsia="宋体"/>
                <w:sz w:val="24"/>
              </w:rPr>
              <w:t>公告编号：202</w:t>
            </w:r>
            <w:r>
              <w:rPr>
                <w:rFonts w:hint="eastAsia" w:eastAsia="宋体"/>
                <w:sz w:val="24"/>
              </w:rPr>
              <w:t>5</w:t>
            </w:r>
            <w:r>
              <w:rPr>
                <w:rFonts w:eastAsia="宋体"/>
                <w:sz w:val="24"/>
              </w:rPr>
              <w:t>-</w:t>
            </w:r>
            <w:r>
              <w:rPr>
                <w:rFonts w:hint="eastAsia" w:eastAsia="宋体"/>
                <w:sz w:val="24"/>
              </w:rPr>
              <w:t>0</w:t>
            </w:r>
            <w:r>
              <w:rPr>
                <w:rFonts w:hint="eastAsia" w:eastAsia="宋体"/>
                <w:sz w:val="24"/>
                <w:lang w:val="en-US" w:eastAsia="zh-CN"/>
              </w:rPr>
              <w:t>22</w:t>
            </w:r>
          </w:p>
        </w:tc>
      </w:tr>
    </w:tbl>
    <w:p>
      <w:pPr>
        <w:snapToGrid w:val="0"/>
        <w:spacing w:before="156" w:beforeLines="50"/>
        <w:jc w:val="center"/>
        <w:rPr>
          <w:rFonts w:eastAsia="宋体"/>
          <w:b/>
          <w:sz w:val="36"/>
          <w:szCs w:val="36"/>
        </w:rPr>
      </w:pPr>
      <w:r>
        <w:rPr>
          <w:rFonts w:eastAsia="宋体"/>
          <w:b/>
          <w:sz w:val="36"/>
          <w:szCs w:val="36"/>
        </w:rPr>
        <w:t>中广核核技术发展股份有限公司</w:t>
      </w:r>
    </w:p>
    <w:p>
      <w:pPr>
        <w:snapToGrid w:val="0"/>
        <w:jc w:val="center"/>
        <w:rPr>
          <w:rFonts w:eastAsia="宋体"/>
          <w:b/>
          <w:sz w:val="36"/>
          <w:szCs w:val="36"/>
        </w:rPr>
      </w:pPr>
      <w:r>
        <w:rPr>
          <w:rFonts w:hint="eastAsia" w:eastAsia="宋体"/>
          <w:b/>
          <w:sz w:val="36"/>
          <w:szCs w:val="36"/>
        </w:rPr>
        <w:t>关于2024年度拟不进行利润分配的专项说明</w:t>
      </w:r>
    </w:p>
    <w:p>
      <w:pPr>
        <w:snapToGrid w:val="0"/>
        <w:spacing w:before="156" w:beforeLines="50" w:line="360" w:lineRule="auto"/>
        <w:ind w:firstLine="422" w:firstLineChars="200"/>
        <w:rPr>
          <w:rFonts w:eastAsia="宋体"/>
          <w:b/>
          <w:szCs w:val="21"/>
        </w:rPr>
      </w:pPr>
      <w:r>
        <w:rPr>
          <w:rFonts w:eastAsia="宋体"/>
          <w:b/>
          <w:szCs w:val="21"/>
        </w:rPr>
        <w:t>本公司及董事会全体成员保证信息披露的内容真实、准确、完整，没有虚假记载、误导性陈述或者重大遗漏。</w:t>
      </w:r>
    </w:p>
    <w:p>
      <w:pPr>
        <w:adjustRightInd w:val="0"/>
        <w:snapToGrid w:val="0"/>
        <w:spacing w:line="360" w:lineRule="auto"/>
        <w:ind w:firstLine="482" w:firstLineChars="200"/>
        <w:outlineLvl w:val="0"/>
        <w:rPr>
          <w:rFonts w:eastAsia="宋体"/>
          <w:b/>
          <w:bCs/>
          <w:sz w:val="24"/>
          <w:szCs w:val="24"/>
        </w:rPr>
      </w:pPr>
      <w:r>
        <w:rPr>
          <w:rFonts w:hint="eastAsia" w:eastAsia="宋体"/>
          <w:b/>
          <w:bCs/>
          <w:sz w:val="24"/>
          <w:szCs w:val="24"/>
        </w:rPr>
        <w:t>重要内容提示：</w:t>
      </w:r>
    </w:p>
    <w:p>
      <w:pPr>
        <w:adjustRightInd w:val="0"/>
        <w:snapToGrid w:val="0"/>
        <w:spacing w:line="360" w:lineRule="auto"/>
        <w:ind w:firstLine="480" w:firstLineChars="200"/>
        <w:outlineLvl w:val="0"/>
        <w:rPr>
          <w:rFonts w:eastAsia="宋体"/>
          <w:sz w:val="24"/>
          <w:szCs w:val="24"/>
        </w:rPr>
      </w:pPr>
      <w:r>
        <w:rPr>
          <w:rFonts w:hint="eastAsia" w:eastAsia="宋体"/>
          <w:sz w:val="24"/>
          <w:szCs w:val="24"/>
        </w:rPr>
        <w:t>1</w:t>
      </w:r>
      <w:r>
        <w:rPr>
          <w:rFonts w:hint="eastAsia" w:eastAsia="宋体"/>
          <w:sz w:val="24"/>
          <w:szCs w:val="24"/>
          <w:lang w:eastAsia="zh-CN"/>
        </w:rPr>
        <w:t>.</w:t>
      </w:r>
      <w:r>
        <w:rPr>
          <w:rFonts w:hint="eastAsia" w:eastAsia="宋体"/>
          <w:sz w:val="24"/>
          <w:szCs w:val="24"/>
        </w:rPr>
        <w:t>截至2024年12月31日，公司合并报表未分配利润为</w:t>
      </w:r>
      <w:r>
        <w:rPr>
          <w:rFonts w:eastAsia="宋体"/>
          <w:sz w:val="24"/>
          <w:szCs w:val="24"/>
        </w:rPr>
        <w:t>85,151</w:t>
      </w:r>
      <w:r>
        <w:rPr>
          <w:rFonts w:eastAsia="宋体"/>
          <w:sz w:val="28"/>
          <w:szCs w:val="24"/>
        </w:rPr>
        <w:t>.</w:t>
      </w:r>
      <w:r>
        <w:rPr>
          <w:rFonts w:eastAsia="宋体"/>
          <w:sz w:val="24"/>
          <w:szCs w:val="24"/>
        </w:rPr>
        <w:t>8</w:t>
      </w:r>
      <w:r>
        <w:rPr>
          <w:rFonts w:hint="eastAsia" w:eastAsia="宋体"/>
          <w:sz w:val="24"/>
          <w:szCs w:val="24"/>
          <w:lang w:val="en-US" w:eastAsia="zh-CN"/>
        </w:rPr>
        <w:t>8</w:t>
      </w:r>
      <w:r>
        <w:rPr>
          <w:rFonts w:hint="eastAsia" w:eastAsia="宋体"/>
          <w:sz w:val="24"/>
          <w:szCs w:val="24"/>
        </w:rPr>
        <w:t>万元，母公司未分配利润为</w:t>
      </w:r>
      <w:r>
        <w:rPr>
          <w:rFonts w:eastAsia="宋体"/>
          <w:sz w:val="24"/>
          <w:szCs w:val="24"/>
        </w:rPr>
        <w:t>-3</w:t>
      </w:r>
      <w:r>
        <w:rPr>
          <w:rFonts w:hint="eastAsia" w:eastAsia="宋体"/>
          <w:sz w:val="24"/>
          <w:szCs w:val="24"/>
          <w:lang w:val="en-US" w:eastAsia="zh-CN"/>
        </w:rPr>
        <w:t>5</w:t>
      </w:r>
      <w:r>
        <w:rPr>
          <w:rFonts w:eastAsia="宋体"/>
          <w:sz w:val="24"/>
          <w:szCs w:val="24"/>
        </w:rPr>
        <w:t>,</w:t>
      </w:r>
      <w:r>
        <w:rPr>
          <w:rFonts w:hint="eastAsia" w:eastAsia="宋体"/>
          <w:sz w:val="24"/>
          <w:szCs w:val="24"/>
          <w:lang w:val="en-US" w:eastAsia="zh-CN"/>
        </w:rPr>
        <w:t>078</w:t>
      </w:r>
      <w:r>
        <w:rPr>
          <w:rFonts w:eastAsia="宋体"/>
          <w:sz w:val="24"/>
          <w:szCs w:val="24"/>
        </w:rPr>
        <w:t>.</w:t>
      </w:r>
      <w:r>
        <w:rPr>
          <w:rFonts w:hint="eastAsia" w:eastAsia="宋体"/>
          <w:sz w:val="24"/>
          <w:szCs w:val="24"/>
          <w:lang w:val="en-US" w:eastAsia="zh-CN"/>
        </w:rPr>
        <w:t>47</w:t>
      </w:r>
      <w:r>
        <w:rPr>
          <w:rFonts w:hint="eastAsia" w:eastAsia="宋体"/>
          <w:sz w:val="24"/>
          <w:szCs w:val="24"/>
        </w:rPr>
        <w:t>万元，结合2024年度经营与财务状况和2025年度公司发展规划，经董事会审议，公司计划不派发现金红利，不送红股，不以公积金转增股本。</w:t>
      </w:r>
    </w:p>
    <w:p>
      <w:pPr>
        <w:adjustRightInd w:val="0"/>
        <w:snapToGrid w:val="0"/>
        <w:spacing w:line="360" w:lineRule="auto"/>
        <w:ind w:firstLine="480" w:firstLineChars="200"/>
        <w:outlineLvl w:val="0"/>
        <w:rPr>
          <w:rFonts w:eastAsia="宋体"/>
          <w:sz w:val="24"/>
          <w:szCs w:val="24"/>
        </w:rPr>
      </w:pPr>
      <w:r>
        <w:rPr>
          <w:rFonts w:hint="eastAsia" w:eastAsia="宋体"/>
          <w:sz w:val="24"/>
          <w:szCs w:val="24"/>
        </w:rPr>
        <w:t>2</w:t>
      </w:r>
      <w:r>
        <w:rPr>
          <w:rFonts w:hint="eastAsia" w:eastAsia="宋体"/>
          <w:sz w:val="24"/>
          <w:szCs w:val="24"/>
          <w:lang w:eastAsia="zh-CN"/>
        </w:rPr>
        <w:t>.</w:t>
      </w:r>
      <w:r>
        <w:rPr>
          <w:rFonts w:hint="eastAsia" w:eastAsia="宋体"/>
          <w:sz w:val="24"/>
          <w:szCs w:val="24"/>
        </w:rPr>
        <w:t>公司利润分配方案不涉及《深圳证券交易所股票上市规则》第9.8.1条相关规定的可能被实施其他风险警示的情形。</w:t>
      </w:r>
    </w:p>
    <w:p>
      <w:pPr>
        <w:adjustRightInd w:val="0"/>
        <w:snapToGrid w:val="0"/>
        <w:spacing w:line="360" w:lineRule="auto"/>
        <w:ind w:firstLine="482" w:firstLineChars="200"/>
        <w:outlineLvl w:val="0"/>
        <w:rPr>
          <w:rFonts w:eastAsia="宋体"/>
          <w:b/>
          <w:bCs/>
          <w:sz w:val="24"/>
          <w:szCs w:val="24"/>
        </w:rPr>
      </w:pPr>
      <w:r>
        <w:rPr>
          <w:rFonts w:hint="eastAsia" w:eastAsia="宋体"/>
          <w:b/>
          <w:bCs/>
          <w:sz w:val="24"/>
          <w:szCs w:val="24"/>
        </w:rPr>
        <w:t>一、审议程序</w:t>
      </w:r>
    </w:p>
    <w:p>
      <w:pPr>
        <w:adjustRightInd w:val="0"/>
        <w:snapToGrid w:val="0"/>
        <w:spacing w:line="360" w:lineRule="auto"/>
        <w:ind w:firstLine="480" w:firstLineChars="200"/>
        <w:outlineLvl w:val="0"/>
        <w:rPr>
          <w:rFonts w:eastAsia="宋体"/>
          <w:sz w:val="24"/>
          <w:szCs w:val="24"/>
        </w:rPr>
      </w:pPr>
      <w:r>
        <w:rPr>
          <w:rFonts w:hint="eastAsia" w:eastAsia="宋体"/>
          <w:sz w:val="24"/>
          <w:szCs w:val="24"/>
        </w:rPr>
        <w:t>中广核核技术发展股份有限公司（以下简称“公司”或“中广核技”）于2025年4月25日召开的第十届董事会第二十六次会议及第十届监事会第十三次会议，审议通过了《关于审议公司2024年度利润分配方案的议案》，公司董事会、监事会均认为本次利润分配方案符合《公司法》等法律法规及《公司章程》关于利润分配的相关规定，综合考虑了公司实际经营情况、未来业务发展及资金需求。</w:t>
      </w:r>
    </w:p>
    <w:p>
      <w:pPr>
        <w:adjustRightInd w:val="0"/>
        <w:snapToGrid w:val="0"/>
        <w:spacing w:line="360" w:lineRule="auto"/>
        <w:ind w:firstLine="480" w:firstLineChars="200"/>
        <w:outlineLvl w:val="0"/>
        <w:rPr>
          <w:rFonts w:eastAsia="宋体"/>
          <w:sz w:val="24"/>
          <w:szCs w:val="24"/>
        </w:rPr>
      </w:pPr>
      <w:r>
        <w:rPr>
          <w:rFonts w:hint="eastAsia" w:eastAsia="宋体"/>
          <w:sz w:val="24"/>
          <w:szCs w:val="24"/>
        </w:rPr>
        <w:t>本议案尚需提交公司2024年年度股东会审议。</w:t>
      </w:r>
    </w:p>
    <w:p>
      <w:pPr>
        <w:adjustRightInd w:val="0"/>
        <w:snapToGrid w:val="0"/>
        <w:spacing w:line="360" w:lineRule="auto"/>
        <w:ind w:firstLine="482" w:firstLineChars="200"/>
        <w:outlineLvl w:val="0"/>
        <w:rPr>
          <w:rFonts w:eastAsia="宋体"/>
          <w:b/>
          <w:bCs/>
          <w:sz w:val="24"/>
          <w:szCs w:val="24"/>
        </w:rPr>
      </w:pPr>
      <w:r>
        <w:rPr>
          <w:rFonts w:hint="eastAsia" w:eastAsia="宋体"/>
          <w:b/>
          <w:bCs/>
          <w:sz w:val="24"/>
          <w:szCs w:val="24"/>
        </w:rPr>
        <w:t>二、本年度利润分配方案基本情况</w:t>
      </w:r>
    </w:p>
    <w:p>
      <w:pPr>
        <w:adjustRightInd w:val="0"/>
        <w:snapToGrid w:val="0"/>
        <w:spacing w:line="360" w:lineRule="auto"/>
        <w:ind w:firstLine="480" w:firstLineChars="200"/>
        <w:outlineLvl w:val="0"/>
        <w:rPr>
          <w:rFonts w:eastAsia="宋体"/>
          <w:sz w:val="24"/>
          <w:szCs w:val="24"/>
        </w:rPr>
      </w:pPr>
      <w:r>
        <w:rPr>
          <w:rFonts w:hint="eastAsia" w:eastAsia="宋体"/>
          <w:sz w:val="24"/>
          <w:szCs w:val="24"/>
        </w:rPr>
        <w:t>1</w:t>
      </w:r>
      <w:r>
        <w:rPr>
          <w:rFonts w:hint="eastAsia" w:eastAsia="宋体"/>
          <w:sz w:val="24"/>
          <w:szCs w:val="24"/>
          <w:lang w:eastAsia="zh-CN"/>
        </w:rPr>
        <w:t>.</w:t>
      </w:r>
      <w:r>
        <w:rPr>
          <w:rFonts w:hint="eastAsia" w:eastAsia="宋体"/>
          <w:sz w:val="24"/>
          <w:szCs w:val="24"/>
        </w:rPr>
        <w:t>公司可供分配利润情况</w:t>
      </w:r>
    </w:p>
    <w:p>
      <w:pPr>
        <w:adjustRightInd w:val="0"/>
        <w:snapToGrid w:val="0"/>
        <w:spacing w:line="360" w:lineRule="auto"/>
        <w:ind w:firstLine="480" w:firstLineChars="200"/>
        <w:outlineLvl w:val="0"/>
        <w:rPr>
          <w:rFonts w:eastAsia="宋体"/>
          <w:sz w:val="24"/>
          <w:szCs w:val="24"/>
        </w:rPr>
      </w:pPr>
      <w:r>
        <w:rPr>
          <w:rFonts w:hint="eastAsia" w:eastAsia="宋体"/>
          <w:sz w:val="24"/>
          <w:szCs w:val="24"/>
        </w:rPr>
        <w:t>经立信会计</w:t>
      </w:r>
      <w:r>
        <w:rPr>
          <w:rFonts w:hint="eastAsia" w:eastAsia="宋体"/>
          <w:sz w:val="24"/>
          <w:szCs w:val="24"/>
          <w:lang w:val="en-US" w:eastAsia="zh-CN"/>
        </w:rPr>
        <w:t>师</w:t>
      </w:r>
      <w:r>
        <w:rPr>
          <w:rFonts w:hint="eastAsia" w:eastAsia="宋体"/>
          <w:sz w:val="24"/>
          <w:szCs w:val="24"/>
        </w:rPr>
        <w:t>事务所（特殊普通合伙）审计，2024年度公司实现归属于上市公司股东的净利润</w:t>
      </w:r>
      <w:r>
        <w:rPr>
          <w:rFonts w:eastAsia="宋体"/>
          <w:sz w:val="24"/>
          <w:szCs w:val="24"/>
        </w:rPr>
        <w:t>-36,216.76</w:t>
      </w:r>
      <w:r>
        <w:rPr>
          <w:rFonts w:hint="eastAsia" w:eastAsia="宋体"/>
          <w:sz w:val="24"/>
          <w:szCs w:val="24"/>
        </w:rPr>
        <w:t>万元，2024年末未分配利润85,151.8</w:t>
      </w:r>
      <w:r>
        <w:rPr>
          <w:rFonts w:hint="eastAsia" w:eastAsia="宋体"/>
          <w:sz w:val="24"/>
          <w:szCs w:val="24"/>
          <w:lang w:val="en-US" w:eastAsia="zh-CN"/>
        </w:rPr>
        <w:t>8</w:t>
      </w:r>
      <w:r>
        <w:rPr>
          <w:rFonts w:hint="eastAsia" w:eastAsia="宋体"/>
          <w:sz w:val="24"/>
          <w:szCs w:val="24"/>
        </w:rPr>
        <w:t>万元；2024年度母公司实现净利润</w:t>
      </w:r>
      <w:r>
        <w:rPr>
          <w:rFonts w:hint="eastAsia" w:eastAsia="宋体"/>
          <w:sz w:val="24"/>
          <w:szCs w:val="24"/>
          <w:lang w:val="en-US" w:eastAsia="zh-CN"/>
        </w:rPr>
        <w:t>7,152.42</w:t>
      </w:r>
      <w:r>
        <w:rPr>
          <w:rFonts w:hint="eastAsia" w:eastAsia="宋体"/>
          <w:sz w:val="24"/>
          <w:szCs w:val="24"/>
        </w:rPr>
        <w:t>万元，2024年末母公司未分配利润-35,078.47万元。</w:t>
      </w:r>
    </w:p>
    <w:p>
      <w:pPr>
        <w:adjustRightInd w:val="0"/>
        <w:snapToGrid w:val="0"/>
        <w:spacing w:line="360" w:lineRule="auto"/>
        <w:ind w:firstLine="480" w:firstLineChars="200"/>
        <w:outlineLvl w:val="0"/>
        <w:rPr>
          <w:rFonts w:eastAsia="宋体"/>
          <w:sz w:val="24"/>
          <w:szCs w:val="24"/>
        </w:rPr>
      </w:pPr>
      <w:r>
        <w:rPr>
          <w:rFonts w:hint="eastAsia" w:eastAsia="宋体"/>
          <w:sz w:val="24"/>
          <w:szCs w:val="24"/>
        </w:rPr>
        <w:t>2</w:t>
      </w:r>
      <w:r>
        <w:rPr>
          <w:rFonts w:hint="eastAsia" w:eastAsia="宋体"/>
          <w:sz w:val="24"/>
          <w:szCs w:val="24"/>
          <w:lang w:eastAsia="zh-CN"/>
        </w:rPr>
        <w:t>.</w:t>
      </w:r>
      <w:r>
        <w:rPr>
          <w:rFonts w:hint="eastAsia" w:eastAsia="宋体"/>
          <w:sz w:val="24"/>
          <w:szCs w:val="24"/>
        </w:rPr>
        <w:t>公司2024年度利润分配方案</w:t>
      </w:r>
    </w:p>
    <w:p>
      <w:pPr>
        <w:adjustRightInd w:val="0"/>
        <w:snapToGrid w:val="0"/>
        <w:spacing w:line="360" w:lineRule="auto"/>
        <w:ind w:firstLine="480" w:firstLineChars="200"/>
        <w:outlineLvl w:val="0"/>
        <w:rPr>
          <w:rFonts w:eastAsia="宋体"/>
          <w:sz w:val="24"/>
          <w:szCs w:val="24"/>
        </w:rPr>
      </w:pPr>
      <w:r>
        <w:rPr>
          <w:rFonts w:hint="eastAsia" w:eastAsia="宋体"/>
          <w:sz w:val="24"/>
          <w:szCs w:val="24"/>
        </w:rPr>
        <w:t>根据中国证监会《上市公司监管指引第3号—上市公司现金分红》《公司章程》和《公司未来三年（2023年—2025年）股东回报规划》等相关规定，鉴于公司报告期末可供分配利润为负值，不具备实施现金分红的条件，为保障公司经营资金需求及未来发展战略的顺利实施，更好维护全体股东的长远利益，公司2024年度拟不派发现金红利，不送红股，不以公积金转增股本。</w:t>
      </w:r>
    </w:p>
    <w:p>
      <w:pPr>
        <w:adjustRightInd w:val="0"/>
        <w:snapToGrid w:val="0"/>
        <w:spacing w:line="360" w:lineRule="auto"/>
        <w:ind w:firstLine="482" w:firstLineChars="200"/>
        <w:outlineLvl w:val="0"/>
        <w:rPr>
          <w:rFonts w:eastAsia="宋体"/>
          <w:b/>
          <w:bCs/>
          <w:sz w:val="24"/>
          <w:szCs w:val="24"/>
        </w:rPr>
      </w:pPr>
      <w:r>
        <w:rPr>
          <w:rFonts w:hint="eastAsia" w:eastAsia="宋体"/>
          <w:b/>
          <w:bCs/>
          <w:sz w:val="24"/>
          <w:szCs w:val="24"/>
        </w:rPr>
        <w:t>三、现金分红方案的具体情况</w:t>
      </w:r>
    </w:p>
    <w:tbl>
      <w:tblPr>
        <w:tblStyle w:val="11"/>
        <w:tblW w:w="837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7"/>
        <w:gridCol w:w="1701"/>
        <w:gridCol w:w="170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417" w:type="dxa"/>
            <w:vMerge w:val="restart"/>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eastAsia="宋体"/>
                <w:b/>
                <w:bCs/>
                <w:color w:val="000000"/>
                <w:szCs w:val="21"/>
              </w:rPr>
            </w:pPr>
            <w:r>
              <w:rPr>
                <w:rFonts w:hint="eastAsia" w:eastAsia="宋体"/>
                <w:b/>
                <w:bCs/>
                <w:color w:val="000000"/>
                <w:szCs w:val="21"/>
              </w:rPr>
              <w:t>项目</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eastAsia="宋体"/>
                <w:b/>
                <w:bCs/>
                <w:color w:val="000000"/>
                <w:szCs w:val="21"/>
              </w:rPr>
            </w:pPr>
            <w:r>
              <w:rPr>
                <w:rFonts w:hint="eastAsia" w:eastAsia="宋体"/>
                <w:b/>
                <w:bCs/>
                <w:color w:val="000000"/>
                <w:szCs w:val="21"/>
              </w:rPr>
              <w:t>本年度</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eastAsia="宋体"/>
                <w:b/>
                <w:bCs/>
                <w:color w:val="000000"/>
                <w:szCs w:val="21"/>
              </w:rPr>
            </w:pPr>
            <w:r>
              <w:rPr>
                <w:rFonts w:hint="eastAsia" w:eastAsia="宋体"/>
                <w:b/>
                <w:bCs/>
                <w:color w:val="000000"/>
                <w:szCs w:val="21"/>
              </w:rPr>
              <w:t>上年度</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eastAsia="宋体"/>
                <w:b/>
                <w:bCs/>
                <w:color w:val="000000"/>
                <w:szCs w:val="21"/>
              </w:rPr>
            </w:pPr>
            <w:r>
              <w:rPr>
                <w:rFonts w:hint="eastAsia" w:eastAsia="宋体"/>
                <w:b/>
                <w:bCs/>
                <w:color w:val="000000"/>
                <w:szCs w:val="21"/>
              </w:rPr>
              <w:t>上上年度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417" w:type="dxa"/>
            <w:vMerge w:val="continue"/>
            <w:tcBorders>
              <w:top w:val="single" w:color="auto" w:sz="4" w:space="0"/>
              <w:left w:val="single" w:color="auto" w:sz="4" w:space="0"/>
              <w:bottom w:val="single" w:color="auto" w:sz="4" w:space="0"/>
              <w:right w:val="single" w:color="auto" w:sz="4" w:space="0"/>
            </w:tcBorders>
            <w:shd w:val="clear" w:color="auto" w:fill="D7D7D7"/>
            <w:vAlign w:val="center"/>
          </w:tcPr>
          <w:p>
            <w:pPr>
              <w:jc w:val="center"/>
              <w:rPr>
                <w:rFonts w:eastAsia="宋体"/>
                <w:b/>
                <w:bCs/>
                <w:color w:val="000000"/>
                <w:szCs w:val="21"/>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D7D7D7"/>
            <w:vAlign w:val="center"/>
          </w:tcPr>
          <w:p>
            <w:pPr>
              <w:jc w:val="center"/>
              <w:rPr>
                <w:rFonts w:eastAsia="宋体"/>
                <w:b/>
                <w:bCs/>
                <w:color w:val="000000"/>
                <w:szCs w:val="21"/>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D7D7D7"/>
            <w:vAlign w:val="center"/>
          </w:tcPr>
          <w:p>
            <w:pPr>
              <w:jc w:val="center"/>
              <w:rPr>
                <w:rFonts w:eastAsia="宋体"/>
                <w:b/>
                <w:bCs/>
                <w:color w:val="000000"/>
                <w:szCs w:val="21"/>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D7D7D7"/>
            <w:vAlign w:val="center"/>
          </w:tcPr>
          <w:p>
            <w:pPr>
              <w:jc w:val="center"/>
              <w:rPr>
                <w:rFonts w:eastAsia="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eastAsia="宋体"/>
                <w:color w:val="000000"/>
                <w:szCs w:val="21"/>
              </w:rPr>
            </w:pPr>
            <w:r>
              <w:rPr>
                <w:rFonts w:hint="eastAsia" w:eastAsia="宋体"/>
                <w:color w:val="000000"/>
                <w:szCs w:val="21"/>
              </w:rPr>
              <w:t>现金分红总额（元）</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eastAsia="宋体"/>
                <w:color w:val="000000"/>
                <w:szCs w:val="21"/>
              </w:rPr>
            </w:pPr>
            <w:r>
              <w:rPr>
                <w:rFonts w:eastAsia="宋体"/>
                <w:color w:val="000000"/>
                <w:szCs w:val="21"/>
              </w:rPr>
              <w:t>0.00</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eastAsia="宋体"/>
                <w:color w:val="000000"/>
                <w:szCs w:val="21"/>
              </w:rPr>
            </w:pPr>
            <w:r>
              <w:rPr>
                <w:rFonts w:eastAsia="宋体"/>
                <w:color w:val="000000"/>
                <w:szCs w:val="21"/>
              </w:rPr>
              <w:t>0.00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eastAsia="宋体"/>
                <w:color w:val="000000"/>
                <w:szCs w:val="21"/>
              </w:rPr>
            </w:pPr>
            <w:r>
              <w:rPr>
                <w:rFonts w:eastAsia="宋体"/>
                <w:color w:val="000000"/>
                <w:szCs w:val="21"/>
              </w:rPr>
              <w:t>37,817,032.60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eastAsia="宋体"/>
                <w:color w:val="000000"/>
                <w:szCs w:val="21"/>
              </w:rPr>
            </w:pPr>
            <w:r>
              <w:rPr>
                <w:rFonts w:hint="eastAsia" w:eastAsia="宋体"/>
                <w:color w:val="000000"/>
                <w:szCs w:val="21"/>
              </w:rPr>
              <w:t>回购注销总额（元）</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eastAsia="宋体"/>
                <w:color w:val="000000"/>
                <w:szCs w:val="21"/>
              </w:rPr>
            </w:pPr>
            <w:r>
              <w:rPr>
                <w:rFonts w:eastAsia="宋体"/>
                <w:color w:val="000000"/>
                <w:szCs w:val="21"/>
              </w:rPr>
              <w:t>0.00</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eastAsia="宋体"/>
                <w:color w:val="000000"/>
                <w:szCs w:val="21"/>
              </w:rPr>
            </w:pPr>
            <w:r>
              <w:rPr>
                <w:rFonts w:eastAsia="宋体"/>
                <w:color w:val="000000"/>
                <w:szCs w:val="21"/>
              </w:rPr>
              <w:t>0.00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eastAsia="宋体"/>
                <w:color w:val="000000"/>
                <w:szCs w:val="21"/>
              </w:rPr>
            </w:pPr>
            <w:r>
              <w:rPr>
                <w:rFonts w:eastAsia="宋体"/>
                <w:color w:val="00000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eastAsia="宋体"/>
                <w:color w:val="000000"/>
                <w:szCs w:val="21"/>
              </w:rPr>
            </w:pPr>
            <w:r>
              <w:rPr>
                <w:rFonts w:hint="eastAsia" w:eastAsia="宋体"/>
                <w:color w:val="000000"/>
                <w:szCs w:val="21"/>
              </w:rPr>
              <w:t>归属于上市公司股东的净利润（元）</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eastAsia="宋体"/>
                <w:color w:val="000000"/>
                <w:szCs w:val="21"/>
              </w:rPr>
            </w:pPr>
            <w:r>
              <w:rPr>
                <w:rFonts w:eastAsia="宋体"/>
                <w:color w:val="000000"/>
                <w:szCs w:val="21"/>
              </w:rPr>
              <w:t>-362,167,598.09</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eastAsia="宋体"/>
                <w:color w:val="000000"/>
                <w:szCs w:val="21"/>
              </w:rPr>
            </w:pPr>
            <w:r>
              <w:rPr>
                <w:rFonts w:eastAsia="宋体"/>
                <w:color w:val="000000"/>
                <w:szCs w:val="21"/>
              </w:rPr>
              <w:t>-737,163,932.18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eastAsia="宋体"/>
                <w:color w:val="000000"/>
                <w:szCs w:val="21"/>
              </w:rPr>
            </w:pPr>
            <w:r>
              <w:rPr>
                <w:rFonts w:eastAsia="宋体"/>
                <w:color w:val="000000"/>
                <w:szCs w:val="21"/>
              </w:rPr>
              <w:t>199,594,590.44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eastAsia="宋体"/>
                <w:color w:val="000000"/>
                <w:szCs w:val="21"/>
              </w:rPr>
            </w:pPr>
            <w:r>
              <w:rPr>
                <w:rFonts w:hint="eastAsia" w:eastAsia="宋体"/>
                <w:color w:val="000000"/>
                <w:szCs w:val="21"/>
              </w:rPr>
              <w:t>合并报表本年度末累计未分配利润（元）</w:t>
            </w:r>
          </w:p>
        </w:tc>
        <w:tc>
          <w:tcPr>
            <w:tcW w:w="4962"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eastAsia="宋体"/>
                <w:color w:val="000000"/>
                <w:szCs w:val="21"/>
              </w:rPr>
            </w:pPr>
            <w:r>
              <w:rPr>
                <w:rFonts w:eastAsia="宋体"/>
                <w:color w:val="000000"/>
                <w:szCs w:val="21"/>
              </w:rPr>
              <w:t>851,518,819.70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eastAsia="宋体"/>
                <w:color w:val="000000"/>
                <w:szCs w:val="21"/>
              </w:rPr>
            </w:pPr>
            <w:r>
              <w:rPr>
                <w:rFonts w:hint="eastAsia" w:eastAsia="宋体"/>
                <w:color w:val="000000"/>
                <w:szCs w:val="21"/>
              </w:rPr>
              <w:t>母公司报表本年度末累计未分配利润（元）</w:t>
            </w:r>
          </w:p>
        </w:tc>
        <w:tc>
          <w:tcPr>
            <w:tcW w:w="4962"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eastAsia="宋体"/>
                <w:color w:val="000000"/>
                <w:szCs w:val="21"/>
              </w:rPr>
            </w:pPr>
            <w:r>
              <w:rPr>
                <w:rFonts w:eastAsia="宋体"/>
                <w:color w:val="000000"/>
                <w:szCs w:val="21"/>
              </w:rPr>
              <w:t>-350,784,728.64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eastAsia="宋体"/>
                <w:color w:val="000000"/>
                <w:szCs w:val="21"/>
              </w:rPr>
            </w:pPr>
            <w:r>
              <w:rPr>
                <w:rFonts w:hint="eastAsia" w:eastAsia="宋体"/>
                <w:color w:val="000000"/>
                <w:szCs w:val="21"/>
              </w:rPr>
              <w:t>上市是否满三个完整会计年度</w:t>
            </w:r>
          </w:p>
        </w:tc>
        <w:tc>
          <w:tcPr>
            <w:tcW w:w="4962"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eastAsia="宋体"/>
                <w:color w:val="000000"/>
                <w:szCs w:val="21"/>
              </w:rPr>
            </w:pPr>
            <w:r>
              <w:rPr>
                <w:rFonts w:hint="eastAsia" w:eastAsia="宋体"/>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eastAsia="宋体"/>
                <w:color w:val="000000"/>
                <w:szCs w:val="21"/>
              </w:rPr>
            </w:pPr>
            <w:r>
              <w:rPr>
                <w:rFonts w:hint="eastAsia" w:eastAsia="宋体"/>
                <w:color w:val="000000"/>
                <w:szCs w:val="21"/>
              </w:rPr>
              <w:t>最近三个会计年度累计现金分红总额（元）</w:t>
            </w:r>
          </w:p>
        </w:tc>
        <w:tc>
          <w:tcPr>
            <w:tcW w:w="4962"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eastAsia="宋体"/>
                <w:color w:val="000000"/>
                <w:szCs w:val="21"/>
              </w:rPr>
            </w:pPr>
            <w:r>
              <w:rPr>
                <w:rFonts w:hint="eastAsia" w:eastAsia="宋体"/>
                <w:color w:val="000000"/>
                <w:szCs w:val="21"/>
              </w:rPr>
              <w:t>37</w:t>
            </w:r>
            <w:r>
              <w:rPr>
                <w:rFonts w:eastAsia="宋体"/>
                <w:color w:val="000000"/>
                <w:szCs w:val="21"/>
              </w:rPr>
              <w:t>,</w:t>
            </w:r>
            <w:r>
              <w:rPr>
                <w:rFonts w:hint="eastAsia" w:eastAsia="宋体"/>
                <w:color w:val="000000"/>
                <w:szCs w:val="21"/>
              </w:rPr>
              <w:t>817,032.60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eastAsia="宋体"/>
                <w:color w:val="000000"/>
                <w:szCs w:val="21"/>
              </w:rPr>
            </w:pPr>
            <w:r>
              <w:rPr>
                <w:rFonts w:hint="eastAsia" w:eastAsia="宋体"/>
                <w:color w:val="000000"/>
                <w:szCs w:val="21"/>
              </w:rPr>
              <w:t>最近三个会计年度累计回购注销总额（元）</w:t>
            </w:r>
          </w:p>
        </w:tc>
        <w:tc>
          <w:tcPr>
            <w:tcW w:w="4962"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eastAsia="宋体"/>
                <w:color w:val="000000"/>
                <w:szCs w:val="21"/>
              </w:rPr>
            </w:pPr>
            <w:r>
              <w:rPr>
                <w:rFonts w:eastAsia="宋体"/>
                <w:color w:val="00000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eastAsia="宋体"/>
                <w:color w:val="000000"/>
                <w:szCs w:val="21"/>
              </w:rPr>
            </w:pPr>
            <w:r>
              <w:rPr>
                <w:rFonts w:hint="eastAsia" w:eastAsia="宋体"/>
                <w:color w:val="000000"/>
                <w:szCs w:val="21"/>
              </w:rPr>
              <w:t>最近三个会计年度平均净利润（元）</w:t>
            </w:r>
          </w:p>
        </w:tc>
        <w:tc>
          <w:tcPr>
            <w:tcW w:w="4962"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eastAsia="宋体"/>
                <w:color w:val="000000"/>
                <w:szCs w:val="21"/>
              </w:rPr>
            </w:pPr>
            <w:r>
              <w:rPr>
                <w:rFonts w:eastAsia="宋体"/>
                <w:color w:val="000000"/>
                <w:szCs w:val="21"/>
              </w:rPr>
              <w:t>-299,912,313.28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eastAsia="宋体"/>
                <w:color w:val="000000"/>
                <w:szCs w:val="21"/>
              </w:rPr>
            </w:pPr>
            <w:r>
              <w:rPr>
                <w:rFonts w:hint="eastAsia" w:eastAsia="宋体"/>
                <w:color w:val="000000"/>
                <w:szCs w:val="21"/>
              </w:rPr>
              <w:t>最近三个会计年度累计现金分红及回购注销总额（元）</w:t>
            </w:r>
          </w:p>
        </w:tc>
        <w:tc>
          <w:tcPr>
            <w:tcW w:w="4962"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eastAsia="宋体"/>
                <w:color w:val="000000"/>
                <w:szCs w:val="21"/>
              </w:rPr>
            </w:pPr>
            <w:r>
              <w:rPr>
                <w:rFonts w:eastAsia="宋体"/>
                <w:color w:val="000000"/>
                <w:szCs w:val="21"/>
              </w:rPr>
              <w:t>37,817,032.60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eastAsia="宋体"/>
                <w:color w:val="000000"/>
                <w:szCs w:val="21"/>
              </w:rPr>
            </w:pPr>
            <w:r>
              <w:rPr>
                <w:rFonts w:hint="eastAsia" w:eastAsia="宋体"/>
                <w:color w:val="000000"/>
                <w:szCs w:val="21"/>
              </w:rPr>
              <w:t>是否触及《股票上市规则》第9.8.1条第（九）项规定的可能被实施其他风险警示情形</w:t>
            </w:r>
          </w:p>
        </w:tc>
        <w:tc>
          <w:tcPr>
            <w:tcW w:w="4962"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000000"/>
                <w:szCs w:val="21"/>
                <w:lang w:val="en-US" w:eastAsia="zh-CN"/>
              </w:rPr>
            </w:pPr>
            <w:r>
              <w:rPr>
                <w:rFonts w:hint="eastAsia" w:eastAsia="宋体"/>
                <w:color w:val="000000"/>
                <w:szCs w:val="21"/>
              </w:rPr>
              <w:t>否</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outlineLvl w:val="0"/>
        <w:rPr>
          <w:rFonts w:eastAsia="宋体"/>
          <w:b/>
          <w:bCs/>
          <w:sz w:val="24"/>
          <w:szCs w:val="24"/>
        </w:rPr>
      </w:pPr>
      <w:r>
        <w:rPr>
          <w:rFonts w:hint="eastAsia" w:eastAsia="宋体"/>
          <w:b/>
          <w:bCs/>
          <w:sz w:val="24"/>
          <w:szCs w:val="24"/>
        </w:rPr>
        <w:t>四、公司2024年度不进行利润分配的合理性说明</w:t>
      </w:r>
    </w:p>
    <w:p>
      <w:pPr>
        <w:adjustRightInd w:val="0"/>
        <w:snapToGrid w:val="0"/>
        <w:spacing w:line="360" w:lineRule="auto"/>
        <w:ind w:firstLine="480" w:firstLineChars="200"/>
        <w:outlineLvl w:val="0"/>
        <w:rPr>
          <w:rFonts w:eastAsia="宋体"/>
          <w:sz w:val="24"/>
          <w:szCs w:val="24"/>
        </w:rPr>
      </w:pPr>
      <w:r>
        <w:rPr>
          <w:rFonts w:hint="eastAsia" w:eastAsia="宋体"/>
          <w:sz w:val="24"/>
          <w:szCs w:val="24"/>
        </w:rPr>
        <w:t>依据《公司法》《公司章程》及有关规定，鉴于公司2024年度母公司报表未分配利润为负值，不符合相关法律、法规及公司制度规定的利润分配（包括现金分红）的条件。综合考虑公司长期的战略规划，为保障公司的正常生产经营和未来资金需求，更好地维护全体股东的长远利益，公司2024年度计划不派发现金红利，不送红股，不以公积金转增股本。</w:t>
      </w:r>
    </w:p>
    <w:p>
      <w:pPr>
        <w:adjustRightInd w:val="0"/>
        <w:snapToGrid w:val="0"/>
        <w:spacing w:line="360" w:lineRule="auto"/>
        <w:ind w:firstLine="480" w:firstLineChars="200"/>
        <w:outlineLvl w:val="0"/>
        <w:rPr>
          <w:rFonts w:eastAsia="宋体"/>
          <w:sz w:val="24"/>
          <w:szCs w:val="24"/>
        </w:rPr>
      </w:pPr>
      <w:r>
        <w:rPr>
          <w:rFonts w:hint="eastAsia" w:eastAsia="宋体"/>
          <w:sz w:val="24"/>
          <w:szCs w:val="24"/>
        </w:rPr>
        <w:t>1</w:t>
      </w:r>
      <w:r>
        <w:rPr>
          <w:rFonts w:hint="eastAsia" w:eastAsia="宋体"/>
          <w:sz w:val="24"/>
          <w:szCs w:val="24"/>
          <w:lang w:eastAsia="zh-CN"/>
        </w:rPr>
        <w:t>.</w:t>
      </w:r>
      <w:r>
        <w:rPr>
          <w:rFonts w:hint="eastAsia" w:eastAsia="宋体"/>
          <w:sz w:val="24"/>
          <w:szCs w:val="24"/>
        </w:rPr>
        <w:t>上市公司控股子公司向母公司实施利润分配的情况</w:t>
      </w:r>
    </w:p>
    <w:p>
      <w:pPr>
        <w:adjustRightInd w:val="0"/>
        <w:snapToGrid w:val="0"/>
        <w:spacing w:line="360" w:lineRule="auto"/>
        <w:ind w:firstLine="480" w:firstLineChars="200"/>
        <w:outlineLvl w:val="0"/>
        <w:rPr>
          <w:rFonts w:eastAsia="宋体"/>
          <w:sz w:val="24"/>
          <w:szCs w:val="24"/>
        </w:rPr>
      </w:pPr>
      <w:r>
        <w:rPr>
          <w:rFonts w:hint="eastAsia" w:eastAsia="宋体"/>
          <w:sz w:val="24"/>
          <w:szCs w:val="24"/>
        </w:rPr>
        <w:t>2024年上市公司下属控股子公司向母公司实施利润分配</w:t>
      </w:r>
      <w:r>
        <w:rPr>
          <w:rFonts w:eastAsia="宋体"/>
          <w:sz w:val="24"/>
          <w:szCs w:val="24"/>
        </w:rPr>
        <w:t>20,412.72</w:t>
      </w:r>
      <w:r>
        <w:rPr>
          <w:rFonts w:hint="eastAsia" w:eastAsia="宋体"/>
          <w:sz w:val="24"/>
          <w:szCs w:val="24"/>
        </w:rPr>
        <w:t>万元。其中，控股子公司中广核高新核材集团有限公司</w:t>
      </w:r>
      <w:r>
        <w:rPr>
          <w:rFonts w:eastAsia="宋体"/>
          <w:sz w:val="24"/>
          <w:szCs w:val="24"/>
        </w:rPr>
        <w:t>14,487.02</w:t>
      </w:r>
      <w:r>
        <w:rPr>
          <w:rFonts w:hint="eastAsia" w:eastAsia="宋体"/>
          <w:sz w:val="24"/>
          <w:szCs w:val="24"/>
        </w:rPr>
        <w:t>万元，中广核俊尔新材料有限公司</w:t>
      </w:r>
      <w:r>
        <w:rPr>
          <w:rFonts w:eastAsia="宋体"/>
          <w:sz w:val="24"/>
          <w:szCs w:val="24"/>
        </w:rPr>
        <w:t>5,710.98</w:t>
      </w:r>
      <w:r>
        <w:rPr>
          <w:rFonts w:hint="eastAsia" w:eastAsia="宋体"/>
          <w:sz w:val="24"/>
          <w:szCs w:val="24"/>
        </w:rPr>
        <w:t>万元，中广核戈瑞（深圳）科技有限公司214.72万元。</w:t>
      </w:r>
    </w:p>
    <w:p>
      <w:pPr>
        <w:adjustRightInd w:val="0"/>
        <w:snapToGrid w:val="0"/>
        <w:spacing w:line="360" w:lineRule="auto"/>
        <w:ind w:firstLine="480" w:firstLineChars="200"/>
        <w:outlineLvl w:val="0"/>
        <w:rPr>
          <w:rFonts w:eastAsia="宋体"/>
          <w:sz w:val="24"/>
          <w:szCs w:val="24"/>
        </w:rPr>
      </w:pPr>
      <w:r>
        <w:rPr>
          <w:rFonts w:hint="eastAsia" w:eastAsia="宋体"/>
          <w:sz w:val="24"/>
          <w:szCs w:val="24"/>
        </w:rPr>
        <w:t>2</w:t>
      </w:r>
      <w:r>
        <w:rPr>
          <w:rFonts w:hint="eastAsia" w:eastAsia="宋体"/>
          <w:sz w:val="24"/>
          <w:szCs w:val="24"/>
          <w:lang w:eastAsia="zh-CN"/>
        </w:rPr>
        <w:t>.</w:t>
      </w:r>
      <w:r>
        <w:rPr>
          <w:rFonts w:hint="eastAsia" w:eastAsia="宋体"/>
          <w:sz w:val="24"/>
          <w:szCs w:val="24"/>
        </w:rPr>
        <w:t>公司为增强投资者回报水平拟采取的措施</w:t>
      </w:r>
    </w:p>
    <w:p>
      <w:pPr>
        <w:adjustRightInd w:val="0"/>
        <w:snapToGrid w:val="0"/>
        <w:spacing w:line="360" w:lineRule="auto"/>
        <w:ind w:firstLine="480" w:firstLineChars="200"/>
        <w:outlineLvl w:val="0"/>
        <w:rPr>
          <w:rFonts w:eastAsia="宋体"/>
          <w:sz w:val="24"/>
          <w:szCs w:val="24"/>
        </w:rPr>
      </w:pPr>
      <w:r>
        <w:rPr>
          <w:rFonts w:hint="eastAsia" w:eastAsia="宋体"/>
          <w:sz w:val="24"/>
          <w:szCs w:val="24"/>
        </w:rPr>
        <w:t>（1）2025年公司将进一步加强经营管理，提升资产质量，继续加大科技创新力度，持续提升公司核心竞争力和盈利能力，同时鼓励子公司向上市公司分红。</w:t>
      </w:r>
    </w:p>
    <w:p>
      <w:pPr>
        <w:adjustRightInd w:val="0"/>
        <w:snapToGrid w:val="0"/>
        <w:spacing w:line="360" w:lineRule="auto"/>
        <w:ind w:firstLine="480" w:firstLineChars="200"/>
        <w:outlineLvl w:val="0"/>
        <w:rPr>
          <w:rFonts w:eastAsia="宋体"/>
          <w:sz w:val="24"/>
          <w:szCs w:val="24"/>
        </w:rPr>
      </w:pPr>
      <w:r>
        <w:rPr>
          <w:rFonts w:hint="eastAsia" w:eastAsia="宋体"/>
          <w:sz w:val="24"/>
          <w:szCs w:val="24"/>
        </w:rPr>
        <w:t>（2）为完善公司利润分配政策，推动公司建立更为科学、持续、稳定的股东回报机制，增加利润分配政策决策的透明度和可操作性，切实保护公众投资者的合法权益，公司已根据中国证监会法律法规的有关规定，结合公司实际情况，在《公司章程》中对利润分配政策进行了明确的规定。2025年公司将结合证监会新修订《上市公司监管指引第3号——上市公司现金分红》的规定，继续保持和完善利润分配制度，进一步强化投资者回报机制，保持现金分红政策的一致性、合理性和稳定性。</w:t>
      </w:r>
    </w:p>
    <w:p>
      <w:pPr>
        <w:adjustRightInd w:val="0"/>
        <w:snapToGrid w:val="0"/>
        <w:spacing w:line="360" w:lineRule="auto"/>
        <w:ind w:firstLine="480" w:firstLineChars="200"/>
        <w:outlineLvl w:val="0"/>
        <w:rPr>
          <w:rFonts w:eastAsia="宋体"/>
          <w:sz w:val="24"/>
          <w:szCs w:val="24"/>
        </w:rPr>
      </w:pPr>
      <w:r>
        <w:rPr>
          <w:rFonts w:hint="eastAsia" w:eastAsia="宋体"/>
          <w:sz w:val="24"/>
          <w:szCs w:val="24"/>
        </w:rPr>
        <w:t>（3）公司也将通过多种渠道主动与股东特别是中小股东进行沟通和交流，充分听取中小股东的意见和诉求，及时答复中小股东关心的问题，鼓励广大中小投资者以及机构投资者主动参与上市公司利润分配事项的决策。</w:t>
      </w:r>
    </w:p>
    <w:p>
      <w:pPr>
        <w:adjustRightInd w:val="0"/>
        <w:snapToGrid w:val="0"/>
        <w:spacing w:before="93" w:beforeLines="30" w:after="93" w:afterLines="30" w:line="360" w:lineRule="auto"/>
        <w:ind w:firstLine="482" w:firstLineChars="200"/>
        <w:outlineLvl w:val="1"/>
        <w:rPr>
          <w:rFonts w:eastAsia="宋体"/>
          <w:b/>
          <w:sz w:val="24"/>
          <w:szCs w:val="24"/>
        </w:rPr>
      </w:pPr>
      <w:r>
        <w:rPr>
          <w:rFonts w:hint="eastAsia" w:eastAsia="宋体"/>
          <w:b/>
          <w:sz w:val="24"/>
          <w:szCs w:val="24"/>
        </w:rPr>
        <w:t>五</w:t>
      </w:r>
      <w:r>
        <w:rPr>
          <w:rFonts w:eastAsia="宋体"/>
          <w:b/>
          <w:sz w:val="24"/>
          <w:szCs w:val="24"/>
        </w:rPr>
        <w:t>、备查文件</w:t>
      </w:r>
    </w:p>
    <w:p>
      <w:pPr>
        <w:pStyle w:val="4"/>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1</w:t>
      </w:r>
      <w:r>
        <w:rPr>
          <w:rFonts w:hint="eastAsia" w:eastAsia="宋体"/>
          <w:sz w:val="24"/>
          <w:szCs w:val="24"/>
          <w:lang w:eastAsia="zh-CN"/>
        </w:rPr>
        <w:t>.</w:t>
      </w:r>
      <w:r>
        <w:rPr>
          <w:rFonts w:ascii="Times New Roman" w:hAnsi="Times New Roman" w:eastAsia="宋体"/>
          <w:sz w:val="24"/>
          <w:szCs w:val="24"/>
        </w:rPr>
        <w:t>第十届董事会第</w:t>
      </w:r>
      <w:r>
        <w:rPr>
          <w:rFonts w:hint="eastAsia" w:ascii="Times New Roman" w:hAnsi="Times New Roman" w:eastAsia="宋体"/>
          <w:sz w:val="24"/>
          <w:szCs w:val="24"/>
        </w:rPr>
        <w:t>二十六</w:t>
      </w:r>
      <w:r>
        <w:rPr>
          <w:rFonts w:ascii="Times New Roman" w:hAnsi="Times New Roman" w:eastAsia="宋体"/>
          <w:sz w:val="24"/>
          <w:szCs w:val="24"/>
        </w:rPr>
        <w:t>次会议决议</w:t>
      </w:r>
      <w:r>
        <w:rPr>
          <w:rFonts w:hint="eastAsia" w:ascii="Times New Roman" w:hAnsi="Times New Roman" w:eastAsia="宋体"/>
          <w:sz w:val="24"/>
          <w:szCs w:val="24"/>
        </w:rPr>
        <w:t>；</w:t>
      </w:r>
    </w:p>
    <w:p>
      <w:pPr>
        <w:snapToGrid w:val="0"/>
        <w:spacing w:line="360" w:lineRule="auto"/>
        <w:ind w:firstLine="480" w:firstLineChars="200"/>
        <w:rPr>
          <w:rFonts w:eastAsia="宋体"/>
          <w:sz w:val="24"/>
          <w:szCs w:val="24"/>
        </w:rPr>
      </w:pPr>
      <w:r>
        <w:rPr>
          <w:rFonts w:hint="eastAsia" w:eastAsia="宋体"/>
          <w:sz w:val="24"/>
          <w:szCs w:val="24"/>
        </w:rPr>
        <w:t>2</w:t>
      </w:r>
      <w:r>
        <w:rPr>
          <w:rFonts w:hint="eastAsia" w:eastAsia="宋体"/>
          <w:sz w:val="24"/>
          <w:szCs w:val="24"/>
          <w:lang w:eastAsia="zh-CN"/>
        </w:rPr>
        <w:t>.</w:t>
      </w:r>
      <w:r>
        <w:rPr>
          <w:rFonts w:hint="eastAsia" w:eastAsia="宋体"/>
          <w:sz w:val="24"/>
          <w:szCs w:val="24"/>
        </w:rPr>
        <w:t>第十届监事会第十三次会议决议。</w:t>
      </w:r>
    </w:p>
    <w:p>
      <w:pPr>
        <w:snapToGrid w:val="0"/>
        <w:spacing w:line="360" w:lineRule="auto"/>
        <w:ind w:firstLine="480" w:firstLineChars="200"/>
        <w:rPr>
          <w:rFonts w:eastAsia="宋体"/>
          <w:sz w:val="24"/>
          <w:szCs w:val="24"/>
        </w:rPr>
      </w:pPr>
      <w:r>
        <w:rPr>
          <w:rFonts w:eastAsia="宋体"/>
          <w:sz w:val="24"/>
          <w:szCs w:val="24"/>
        </w:rPr>
        <w:t>特此</w:t>
      </w:r>
      <w:r>
        <w:rPr>
          <w:rFonts w:hint="eastAsia" w:eastAsia="宋体"/>
          <w:sz w:val="24"/>
          <w:szCs w:val="24"/>
          <w:lang w:val="en-US" w:eastAsia="zh-CN"/>
        </w:rPr>
        <w:t>公告</w:t>
      </w:r>
      <w:bookmarkStart w:id="0" w:name="_GoBack"/>
      <w:bookmarkEnd w:id="0"/>
      <w:r>
        <w:rPr>
          <w:rFonts w:eastAsia="宋体"/>
          <w:sz w:val="24"/>
          <w:szCs w:val="24"/>
        </w:rPr>
        <w:t>。</w:t>
      </w:r>
    </w:p>
    <w:p>
      <w:pPr>
        <w:snapToGrid w:val="0"/>
        <w:spacing w:line="360" w:lineRule="auto"/>
        <w:ind w:firstLine="482" w:firstLineChars="200"/>
        <w:jc w:val="right"/>
        <w:rPr>
          <w:rFonts w:eastAsia="宋体"/>
          <w:b/>
          <w:sz w:val="24"/>
          <w:szCs w:val="24"/>
        </w:rPr>
      </w:pPr>
    </w:p>
    <w:p>
      <w:pPr>
        <w:snapToGrid w:val="0"/>
        <w:spacing w:line="360" w:lineRule="auto"/>
        <w:ind w:firstLine="482" w:firstLineChars="200"/>
        <w:jc w:val="right"/>
        <w:rPr>
          <w:rFonts w:eastAsia="宋体"/>
          <w:b/>
          <w:sz w:val="24"/>
          <w:szCs w:val="24"/>
        </w:rPr>
      </w:pPr>
    </w:p>
    <w:p>
      <w:pPr>
        <w:snapToGrid w:val="0"/>
        <w:spacing w:line="360" w:lineRule="auto"/>
        <w:ind w:firstLine="482" w:firstLineChars="200"/>
        <w:jc w:val="right"/>
        <w:rPr>
          <w:rFonts w:hint="eastAsia" w:eastAsia="宋体"/>
          <w:b/>
          <w:sz w:val="24"/>
          <w:szCs w:val="24"/>
        </w:rPr>
      </w:pPr>
    </w:p>
    <w:p>
      <w:pPr>
        <w:snapToGrid w:val="0"/>
        <w:spacing w:line="360" w:lineRule="auto"/>
        <w:ind w:firstLine="482" w:firstLineChars="200"/>
        <w:jc w:val="right"/>
        <w:rPr>
          <w:rFonts w:eastAsia="宋体"/>
          <w:b/>
          <w:sz w:val="24"/>
          <w:szCs w:val="24"/>
        </w:rPr>
      </w:pPr>
      <w:r>
        <w:rPr>
          <w:rFonts w:eastAsia="宋体"/>
          <w:b/>
          <w:sz w:val="24"/>
          <w:szCs w:val="24"/>
        </w:rPr>
        <w:t>中广核核技术发展股份有限公司</w:t>
      </w:r>
    </w:p>
    <w:p>
      <w:pPr>
        <w:snapToGrid w:val="0"/>
        <w:spacing w:line="360" w:lineRule="auto"/>
        <w:ind w:firstLine="482" w:firstLineChars="200"/>
        <w:jc w:val="right"/>
        <w:rPr>
          <w:rFonts w:eastAsia="宋体"/>
          <w:b/>
          <w:sz w:val="24"/>
          <w:szCs w:val="24"/>
        </w:rPr>
      </w:pPr>
      <w:r>
        <w:rPr>
          <w:rFonts w:eastAsia="宋体"/>
          <w:b/>
          <w:sz w:val="24"/>
          <w:szCs w:val="24"/>
        </w:rPr>
        <w:t>董事会</w:t>
      </w:r>
    </w:p>
    <w:p>
      <w:pPr>
        <w:snapToGrid w:val="0"/>
        <w:spacing w:line="360" w:lineRule="auto"/>
        <w:ind w:firstLine="482" w:firstLineChars="200"/>
        <w:jc w:val="right"/>
        <w:rPr>
          <w:b/>
          <w:sz w:val="24"/>
          <w:szCs w:val="24"/>
        </w:rPr>
      </w:pPr>
      <w:r>
        <w:rPr>
          <w:rFonts w:eastAsia="宋体"/>
          <w:b/>
          <w:sz w:val="24"/>
          <w:szCs w:val="24"/>
        </w:rPr>
        <w:t>202</w:t>
      </w:r>
      <w:r>
        <w:rPr>
          <w:rFonts w:hint="eastAsia" w:eastAsia="宋体"/>
          <w:b/>
          <w:sz w:val="24"/>
          <w:szCs w:val="24"/>
        </w:rPr>
        <w:t>5</w:t>
      </w:r>
      <w:r>
        <w:rPr>
          <w:rFonts w:eastAsia="宋体"/>
          <w:b/>
          <w:sz w:val="24"/>
          <w:szCs w:val="24"/>
        </w:rPr>
        <w:t>年</w:t>
      </w:r>
      <w:r>
        <w:rPr>
          <w:rFonts w:hint="eastAsia" w:eastAsia="宋体"/>
          <w:b/>
          <w:sz w:val="24"/>
          <w:szCs w:val="24"/>
        </w:rPr>
        <w:t>4</w:t>
      </w:r>
      <w:r>
        <w:rPr>
          <w:rFonts w:eastAsia="宋体"/>
          <w:b/>
          <w:sz w:val="24"/>
          <w:szCs w:val="24"/>
        </w:rPr>
        <w:t>月</w:t>
      </w:r>
      <w:r>
        <w:rPr>
          <w:rFonts w:hint="eastAsia" w:eastAsia="宋体"/>
          <w:b/>
          <w:sz w:val="24"/>
          <w:szCs w:val="24"/>
        </w:rPr>
        <w:t>29</w:t>
      </w:r>
      <w:r>
        <w:rPr>
          <w:rFonts w:eastAsia="宋体"/>
          <w:b/>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C0007"/>
    <w:multiLevelType w:val="singleLevel"/>
    <w:tmpl w:val="18CC0007"/>
    <w:lvl w:ilvl="0" w:tentative="0">
      <w:start w:val="6"/>
      <w:numFmt w:val="decimal"/>
      <w:pStyle w:val="23"/>
      <w:lvlText w:val="%1、"/>
      <w:legacy w:legacy="1" w:legacySpace="0" w:legacyIndent="465"/>
      <w:lvlJc w:val="left"/>
      <w:pPr>
        <w:ind w:left="1035" w:hanging="465"/>
      </w:pPr>
      <w:rPr>
        <w:rFonts w:hint="eastAsia" w:ascii="楷体_GB2312" w:eastAsia="楷体_GB2312"/>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MDhiNGI0YmE3ODA0NTM1ZmE0YTM1N2UwNWU2NGEifQ=="/>
  </w:docVars>
  <w:rsids>
    <w:rsidRoot w:val="00B07E69"/>
    <w:rsid w:val="00001413"/>
    <w:rsid w:val="000018E4"/>
    <w:rsid w:val="00001B05"/>
    <w:rsid w:val="00001F37"/>
    <w:rsid w:val="00003433"/>
    <w:rsid w:val="0000729F"/>
    <w:rsid w:val="00013BAD"/>
    <w:rsid w:val="00013DE7"/>
    <w:rsid w:val="0001484C"/>
    <w:rsid w:val="000222C4"/>
    <w:rsid w:val="00024767"/>
    <w:rsid w:val="000252E3"/>
    <w:rsid w:val="00027656"/>
    <w:rsid w:val="000315F7"/>
    <w:rsid w:val="00032084"/>
    <w:rsid w:val="000341F5"/>
    <w:rsid w:val="000364D6"/>
    <w:rsid w:val="000405F2"/>
    <w:rsid w:val="00040745"/>
    <w:rsid w:val="00040E2A"/>
    <w:rsid w:val="000419AF"/>
    <w:rsid w:val="00045B28"/>
    <w:rsid w:val="00045FDE"/>
    <w:rsid w:val="000512F0"/>
    <w:rsid w:val="0005324B"/>
    <w:rsid w:val="000534B7"/>
    <w:rsid w:val="0005380D"/>
    <w:rsid w:val="00054673"/>
    <w:rsid w:val="00054DFE"/>
    <w:rsid w:val="000554BB"/>
    <w:rsid w:val="00055679"/>
    <w:rsid w:val="000559A8"/>
    <w:rsid w:val="000568EC"/>
    <w:rsid w:val="0005724A"/>
    <w:rsid w:val="000572AD"/>
    <w:rsid w:val="000579AD"/>
    <w:rsid w:val="00062129"/>
    <w:rsid w:val="00062E11"/>
    <w:rsid w:val="00063A9B"/>
    <w:rsid w:val="00063F7F"/>
    <w:rsid w:val="000645B1"/>
    <w:rsid w:val="00064887"/>
    <w:rsid w:val="0006546C"/>
    <w:rsid w:val="00081090"/>
    <w:rsid w:val="00081A66"/>
    <w:rsid w:val="000822BE"/>
    <w:rsid w:val="000828BD"/>
    <w:rsid w:val="00082936"/>
    <w:rsid w:val="00086615"/>
    <w:rsid w:val="000868C9"/>
    <w:rsid w:val="00090342"/>
    <w:rsid w:val="00093C0D"/>
    <w:rsid w:val="000A02FE"/>
    <w:rsid w:val="000A68BD"/>
    <w:rsid w:val="000B0888"/>
    <w:rsid w:val="000B22DD"/>
    <w:rsid w:val="000B3357"/>
    <w:rsid w:val="000B3495"/>
    <w:rsid w:val="000C0E38"/>
    <w:rsid w:val="000C0FE7"/>
    <w:rsid w:val="000C398E"/>
    <w:rsid w:val="000C50D1"/>
    <w:rsid w:val="000C5E04"/>
    <w:rsid w:val="000C71E5"/>
    <w:rsid w:val="000D1032"/>
    <w:rsid w:val="000D2D28"/>
    <w:rsid w:val="000D3D05"/>
    <w:rsid w:val="000D6F96"/>
    <w:rsid w:val="000D7118"/>
    <w:rsid w:val="000E03B2"/>
    <w:rsid w:val="000E4970"/>
    <w:rsid w:val="000E4DC9"/>
    <w:rsid w:val="000E4FF5"/>
    <w:rsid w:val="000E6CD7"/>
    <w:rsid w:val="000F0B77"/>
    <w:rsid w:val="000F26C4"/>
    <w:rsid w:val="000F33E2"/>
    <w:rsid w:val="000F3D49"/>
    <w:rsid w:val="000F3FEE"/>
    <w:rsid w:val="000F4132"/>
    <w:rsid w:val="000F55F2"/>
    <w:rsid w:val="000F69B3"/>
    <w:rsid w:val="000F6D10"/>
    <w:rsid w:val="000F7775"/>
    <w:rsid w:val="001008A5"/>
    <w:rsid w:val="00101550"/>
    <w:rsid w:val="00106F91"/>
    <w:rsid w:val="001077F4"/>
    <w:rsid w:val="0011228F"/>
    <w:rsid w:val="001132CB"/>
    <w:rsid w:val="00113D3C"/>
    <w:rsid w:val="00120AE3"/>
    <w:rsid w:val="00121480"/>
    <w:rsid w:val="00122502"/>
    <w:rsid w:val="00122815"/>
    <w:rsid w:val="00122928"/>
    <w:rsid w:val="00123294"/>
    <w:rsid w:val="00123D1A"/>
    <w:rsid w:val="001251EB"/>
    <w:rsid w:val="001279B0"/>
    <w:rsid w:val="00127F6A"/>
    <w:rsid w:val="0013019C"/>
    <w:rsid w:val="00130517"/>
    <w:rsid w:val="001318C3"/>
    <w:rsid w:val="00132C15"/>
    <w:rsid w:val="001330A5"/>
    <w:rsid w:val="00135267"/>
    <w:rsid w:val="0013696E"/>
    <w:rsid w:val="00136AC4"/>
    <w:rsid w:val="00140B6F"/>
    <w:rsid w:val="00141CE9"/>
    <w:rsid w:val="00142DF0"/>
    <w:rsid w:val="00143646"/>
    <w:rsid w:val="00147D93"/>
    <w:rsid w:val="00150D93"/>
    <w:rsid w:val="00152F22"/>
    <w:rsid w:val="00155356"/>
    <w:rsid w:val="001619BE"/>
    <w:rsid w:val="001672F9"/>
    <w:rsid w:val="001711B8"/>
    <w:rsid w:val="00171F37"/>
    <w:rsid w:val="001735A0"/>
    <w:rsid w:val="00174E35"/>
    <w:rsid w:val="00175408"/>
    <w:rsid w:val="0017555B"/>
    <w:rsid w:val="001758B5"/>
    <w:rsid w:val="00175CBF"/>
    <w:rsid w:val="001779E1"/>
    <w:rsid w:val="0018038D"/>
    <w:rsid w:val="00180636"/>
    <w:rsid w:val="00182210"/>
    <w:rsid w:val="0018364A"/>
    <w:rsid w:val="00184563"/>
    <w:rsid w:val="001851C6"/>
    <w:rsid w:val="00186CD1"/>
    <w:rsid w:val="00190AA3"/>
    <w:rsid w:val="0019389A"/>
    <w:rsid w:val="00193EE4"/>
    <w:rsid w:val="0019426B"/>
    <w:rsid w:val="001943AE"/>
    <w:rsid w:val="00196DD8"/>
    <w:rsid w:val="001A077E"/>
    <w:rsid w:val="001A0C62"/>
    <w:rsid w:val="001A198A"/>
    <w:rsid w:val="001A26DE"/>
    <w:rsid w:val="001A27C9"/>
    <w:rsid w:val="001A3E5F"/>
    <w:rsid w:val="001A6CF4"/>
    <w:rsid w:val="001A6DBB"/>
    <w:rsid w:val="001A726D"/>
    <w:rsid w:val="001A75E0"/>
    <w:rsid w:val="001B1368"/>
    <w:rsid w:val="001B46CC"/>
    <w:rsid w:val="001B71DD"/>
    <w:rsid w:val="001C1F46"/>
    <w:rsid w:val="001C3BDD"/>
    <w:rsid w:val="001C55C8"/>
    <w:rsid w:val="001D1554"/>
    <w:rsid w:val="001D1FD2"/>
    <w:rsid w:val="001D27C2"/>
    <w:rsid w:val="001D47E9"/>
    <w:rsid w:val="001D4F4C"/>
    <w:rsid w:val="001D7325"/>
    <w:rsid w:val="001E504C"/>
    <w:rsid w:val="001E5811"/>
    <w:rsid w:val="001E5A48"/>
    <w:rsid w:val="001F1297"/>
    <w:rsid w:val="001F5845"/>
    <w:rsid w:val="001F6AA1"/>
    <w:rsid w:val="001F7A38"/>
    <w:rsid w:val="00200618"/>
    <w:rsid w:val="00203CC6"/>
    <w:rsid w:val="002042D4"/>
    <w:rsid w:val="002046EF"/>
    <w:rsid w:val="0021237C"/>
    <w:rsid w:val="00213050"/>
    <w:rsid w:val="00215345"/>
    <w:rsid w:val="0021591A"/>
    <w:rsid w:val="00217950"/>
    <w:rsid w:val="00221786"/>
    <w:rsid w:val="002219F2"/>
    <w:rsid w:val="00223FEE"/>
    <w:rsid w:val="00225612"/>
    <w:rsid w:val="00227D09"/>
    <w:rsid w:val="00231432"/>
    <w:rsid w:val="00232CED"/>
    <w:rsid w:val="00241B2A"/>
    <w:rsid w:val="00241C22"/>
    <w:rsid w:val="0024570C"/>
    <w:rsid w:val="0024605D"/>
    <w:rsid w:val="002462C7"/>
    <w:rsid w:val="00253C07"/>
    <w:rsid w:val="00253EB5"/>
    <w:rsid w:val="002572B1"/>
    <w:rsid w:val="0025767F"/>
    <w:rsid w:val="0026017F"/>
    <w:rsid w:val="00261D1D"/>
    <w:rsid w:val="0026213E"/>
    <w:rsid w:val="002654A6"/>
    <w:rsid w:val="00265BF8"/>
    <w:rsid w:val="00266E89"/>
    <w:rsid w:val="00267A6E"/>
    <w:rsid w:val="002710C2"/>
    <w:rsid w:val="002721D6"/>
    <w:rsid w:val="002733BF"/>
    <w:rsid w:val="00273AF5"/>
    <w:rsid w:val="00273E92"/>
    <w:rsid w:val="00274406"/>
    <w:rsid w:val="002815FE"/>
    <w:rsid w:val="002844B8"/>
    <w:rsid w:val="0028575F"/>
    <w:rsid w:val="0028583F"/>
    <w:rsid w:val="00285ECD"/>
    <w:rsid w:val="00286AE0"/>
    <w:rsid w:val="0029131D"/>
    <w:rsid w:val="00292622"/>
    <w:rsid w:val="00292860"/>
    <w:rsid w:val="00294C3D"/>
    <w:rsid w:val="00295EA0"/>
    <w:rsid w:val="00296EE8"/>
    <w:rsid w:val="002A4FCB"/>
    <w:rsid w:val="002A5C87"/>
    <w:rsid w:val="002B03AF"/>
    <w:rsid w:val="002B10FD"/>
    <w:rsid w:val="002B22B3"/>
    <w:rsid w:val="002C1537"/>
    <w:rsid w:val="002C4293"/>
    <w:rsid w:val="002C52E8"/>
    <w:rsid w:val="002D21A8"/>
    <w:rsid w:val="002D4AB5"/>
    <w:rsid w:val="002D746D"/>
    <w:rsid w:val="002D7DFE"/>
    <w:rsid w:val="002E024D"/>
    <w:rsid w:val="002E03A2"/>
    <w:rsid w:val="002E3DE1"/>
    <w:rsid w:val="002E7E85"/>
    <w:rsid w:val="002E7F16"/>
    <w:rsid w:val="002F0134"/>
    <w:rsid w:val="002F15EF"/>
    <w:rsid w:val="002F6A0E"/>
    <w:rsid w:val="0030260F"/>
    <w:rsid w:val="00302905"/>
    <w:rsid w:val="003035D6"/>
    <w:rsid w:val="003043E1"/>
    <w:rsid w:val="003062F8"/>
    <w:rsid w:val="003063A6"/>
    <w:rsid w:val="00310B85"/>
    <w:rsid w:val="00310EFD"/>
    <w:rsid w:val="0031131E"/>
    <w:rsid w:val="003134E1"/>
    <w:rsid w:val="00315795"/>
    <w:rsid w:val="00317F0E"/>
    <w:rsid w:val="0032030F"/>
    <w:rsid w:val="00320ACB"/>
    <w:rsid w:val="00322CC9"/>
    <w:rsid w:val="0032419B"/>
    <w:rsid w:val="00326EE7"/>
    <w:rsid w:val="00327C50"/>
    <w:rsid w:val="003318C5"/>
    <w:rsid w:val="00331EDD"/>
    <w:rsid w:val="00332548"/>
    <w:rsid w:val="00332D55"/>
    <w:rsid w:val="0033435E"/>
    <w:rsid w:val="00337925"/>
    <w:rsid w:val="00344860"/>
    <w:rsid w:val="00346C94"/>
    <w:rsid w:val="003505F5"/>
    <w:rsid w:val="003514E4"/>
    <w:rsid w:val="00352FDF"/>
    <w:rsid w:val="003539D7"/>
    <w:rsid w:val="00354346"/>
    <w:rsid w:val="003546AA"/>
    <w:rsid w:val="00356450"/>
    <w:rsid w:val="00357CAD"/>
    <w:rsid w:val="00360E17"/>
    <w:rsid w:val="00362E93"/>
    <w:rsid w:val="00362EAB"/>
    <w:rsid w:val="003638CC"/>
    <w:rsid w:val="003641F7"/>
    <w:rsid w:val="00364296"/>
    <w:rsid w:val="003646FE"/>
    <w:rsid w:val="0036792F"/>
    <w:rsid w:val="00367B9E"/>
    <w:rsid w:val="0037093D"/>
    <w:rsid w:val="00370C0B"/>
    <w:rsid w:val="003719EF"/>
    <w:rsid w:val="00373691"/>
    <w:rsid w:val="00373CFD"/>
    <w:rsid w:val="0037678A"/>
    <w:rsid w:val="00381162"/>
    <w:rsid w:val="00386C81"/>
    <w:rsid w:val="003900E3"/>
    <w:rsid w:val="003912D6"/>
    <w:rsid w:val="00392691"/>
    <w:rsid w:val="00392A36"/>
    <w:rsid w:val="0039362B"/>
    <w:rsid w:val="00395D6C"/>
    <w:rsid w:val="003A292F"/>
    <w:rsid w:val="003A2989"/>
    <w:rsid w:val="003A2A74"/>
    <w:rsid w:val="003A3403"/>
    <w:rsid w:val="003A4AB1"/>
    <w:rsid w:val="003A51A7"/>
    <w:rsid w:val="003A607C"/>
    <w:rsid w:val="003A7C90"/>
    <w:rsid w:val="003B2FBC"/>
    <w:rsid w:val="003B4BB5"/>
    <w:rsid w:val="003B546C"/>
    <w:rsid w:val="003C03F3"/>
    <w:rsid w:val="003C0743"/>
    <w:rsid w:val="003C0B6B"/>
    <w:rsid w:val="003C0CB3"/>
    <w:rsid w:val="003C2E06"/>
    <w:rsid w:val="003C5EA8"/>
    <w:rsid w:val="003C6F4E"/>
    <w:rsid w:val="003C6FE9"/>
    <w:rsid w:val="003D0362"/>
    <w:rsid w:val="003D1DEA"/>
    <w:rsid w:val="003D3D95"/>
    <w:rsid w:val="003D60C8"/>
    <w:rsid w:val="003D6BA8"/>
    <w:rsid w:val="003E0DBA"/>
    <w:rsid w:val="003E5295"/>
    <w:rsid w:val="003E54CA"/>
    <w:rsid w:val="003E584F"/>
    <w:rsid w:val="003E7FF5"/>
    <w:rsid w:val="003F0050"/>
    <w:rsid w:val="003F0402"/>
    <w:rsid w:val="003F07F0"/>
    <w:rsid w:val="003F27DF"/>
    <w:rsid w:val="003F2969"/>
    <w:rsid w:val="003F3D44"/>
    <w:rsid w:val="003F4A59"/>
    <w:rsid w:val="003F61E2"/>
    <w:rsid w:val="004004A6"/>
    <w:rsid w:val="0040098A"/>
    <w:rsid w:val="00400D97"/>
    <w:rsid w:val="00402ED1"/>
    <w:rsid w:val="00403BC7"/>
    <w:rsid w:val="0040407C"/>
    <w:rsid w:val="004054C4"/>
    <w:rsid w:val="00405A64"/>
    <w:rsid w:val="0040741F"/>
    <w:rsid w:val="004100A0"/>
    <w:rsid w:val="00410D4C"/>
    <w:rsid w:val="00412C83"/>
    <w:rsid w:val="00414DAF"/>
    <w:rsid w:val="00415A70"/>
    <w:rsid w:val="0041664F"/>
    <w:rsid w:val="00416DB9"/>
    <w:rsid w:val="00417251"/>
    <w:rsid w:val="0041747D"/>
    <w:rsid w:val="00420C33"/>
    <w:rsid w:val="00422294"/>
    <w:rsid w:val="00425D5C"/>
    <w:rsid w:val="0043136C"/>
    <w:rsid w:val="00431A2F"/>
    <w:rsid w:val="004326D7"/>
    <w:rsid w:val="00433A97"/>
    <w:rsid w:val="004377D7"/>
    <w:rsid w:val="004403AB"/>
    <w:rsid w:val="00445D18"/>
    <w:rsid w:val="00447146"/>
    <w:rsid w:val="00451457"/>
    <w:rsid w:val="00456040"/>
    <w:rsid w:val="004564D6"/>
    <w:rsid w:val="00457CA7"/>
    <w:rsid w:val="00460E7C"/>
    <w:rsid w:val="00460F8C"/>
    <w:rsid w:val="00461DEF"/>
    <w:rsid w:val="004624B3"/>
    <w:rsid w:val="00462862"/>
    <w:rsid w:val="0046429F"/>
    <w:rsid w:val="00464A74"/>
    <w:rsid w:val="00465A3C"/>
    <w:rsid w:val="00465BF0"/>
    <w:rsid w:val="0047101A"/>
    <w:rsid w:val="00474C11"/>
    <w:rsid w:val="0047752E"/>
    <w:rsid w:val="00480602"/>
    <w:rsid w:val="00481AA6"/>
    <w:rsid w:val="00482B64"/>
    <w:rsid w:val="004833D2"/>
    <w:rsid w:val="0048507C"/>
    <w:rsid w:val="00486D35"/>
    <w:rsid w:val="004908EC"/>
    <w:rsid w:val="0049198B"/>
    <w:rsid w:val="00493E25"/>
    <w:rsid w:val="00493EF0"/>
    <w:rsid w:val="00495998"/>
    <w:rsid w:val="00497F57"/>
    <w:rsid w:val="004A1ADC"/>
    <w:rsid w:val="004A2D8A"/>
    <w:rsid w:val="004B1E05"/>
    <w:rsid w:val="004B2AA2"/>
    <w:rsid w:val="004B3588"/>
    <w:rsid w:val="004B3D7C"/>
    <w:rsid w:val="004B4988"/>
    <w:rsid w:val="004C2611"/>
    <w:rsid w:val="004C4E6F"/>
    <w:rsid w:val="004D0DF8"/>
    <w:rsid w:val="004D0F2E"/>
    <w:rsid w:val="004D1890"/>
    <w:rsid w:val="004D24CE"/>
    <w:rsid w:val="004D4403"/>
    <w:rsid w:val="004D5EE0"/>
    <w:rsid w:val="004E0EB1"/>
    <w:rsid w:val="004E1014"/>
    <w:rsid w:val="004E1819"/>
    <w:rsid w:val="004E39CC"/>
    <w:rsid w:val="004E3A40"/>
    <w:rsid w:val="004E6620"/>
    <w:rsid w:val="004E7D49"/>
    <w:rsid w:val="004F21A4"/>
    <w:rsid w:val="004F2974"/>
    <w:rsid w:val="004F5478"/>
    <w:rsid w:val="004F6473"/>
    <w:rsid w:val="005007E2"/>
    <w:rsid w:val="00501102"/>
    <w:rsid w:val="00501F06"/>
    <w:rsid w:val="00503452"/>
    <w:rsid w:val="00503478"/>
    <w:rsid w:val="005116FD"/>
    <w:rsid w:val="00511A8A"/>
    <w:rsid w:val="00516D72"/>
    <w:rsid w:val="005207EB"/>
    <w:rsid w:val="005224F0"/>
    <w:rsid w:val="00523355"/>
    <w:rsid w:val="00523AA6"/>
    <w:rsid w:val="005242ED"/>
    <w:rsid w:val="00524753"/>
    <w:rsid w:val="0052623C"/>
    <w:rsid w:val="00527F5B"/>
    <w:rsid w:val="00531D5B"/>
    <w:rsid w:val="005331CF"/>
    <w:rsid w:val="0053371C"/>
    <w:rsid w:val="00537B62"/>
    <w:rsid w:val="00540445"/>
    <w:rsid w:val="00540C51"/>
    <w:rsid w:val="005454D5"/>
    <w:rsid w:val="00546E47"/>
    <w:rsid w:val="00550D32"/>
    <w:rsid w:val="00553397"/>
    <w:rsid w:val="005549AD"/>
    <w:rsid w:val="005550AE"/>
    <w:rsid w:val="005552D9"/>
    <w:rsid w:val="00555C62"/>
    <w:rsid w:val="005565AC"/>
    <w:rsid w:val="00556B0B"/>
    <w:rsid w:val="00557C71"/>
    <w:rsid w:val="0056499A"/>
    <w:rsid w:val="00566CDD"/>
    <w:rsid w:val="00566ECF"/>
    <w:rsid w:val="00570EA4"/>
    <w:rsid w:val="005721B0"/>
    <w:rsid w:val="005777B9"/>
    <w:rsid w:val="00580136"/>
    <w:rsid w:val="00584937"/>
    <w:rsid w:val="00584BA1"/>
    <w:rsid w:val="00584DA1"/>
    <w:rsid w:val="00585497"/>
    <w:rsid w:val="005870C8"/>
    <w:rsid w:val="00587BF1"/>
    <w:rsid w:val="0059030C"/>
    <w:rsid w:val="00590CD5"/>
    <w:rsid w:val="005956B0"/>
    <w:rsid w:val="00596D32"/>
    <w:rsid w:val="005A1320"/>
    <w:rsid w:val="005A4CEA"/>
    <w:rsid w:val="005A72D8"/>
    <w:rsid w:val="005B3619"/>
    <w:rsid w:val="005B3A52"/>
    <w:rsid w:val="005C0744"/>
    <w:rsid w:val="005C3F4D"/>
    <w:rsid w:val="005D149B"/>
    <w:rsid w:val="005D3F2F"/>
    <w:rsid w:val="005D7223"/>
    <w:rsid w:val="005E0C92"/>
    <w:rsid w:val="005E105C"/>
    <w:rsid w:val="005E6583"/>
    <w:rsid w:val="005F1E32"/>
    <w:rsid w:val="005F2A66"/>
    <w:rsid w:val="005F35E4"/>
    <w:rsid w:val="005F3CD7"/>
    <w:rsid w:val="005F7051"/>
    <w:rsid w:val="00605620"/>
    <w:rsid w:val="00606C39"/>
    <w:rsid w:val="00611B4C"/>
    <w:rsid w:val="00615CA9"/>
    <w:rsid w:val="0061686A"/>
    <w:rsid w:val="006170F1"/>
    <w:rsid w:val="00617F18"/>
    <w:rsid w:val="006204BA"/>
    <w:rsid w:val="006240FE"/>
    <w:rsid w:val="00624D1A"/>
    <w:rsid w:val="00627C23"/>
    <w:rsid w:val="00630AA0"/>
    <w:rsid w:val="0063222D"/>
    <w:rsid w:val="00632817"/>
    <w:rsid w:val="00634F3D"/>
    <w:rsid w:val="0063550F"/>
    <w:rsid w:val="00636B7E"/>
    <w:rsid w:val="00637763"/>
    <w:rsid w:val="00642525"/>
    <w:rsid w:val="006501FD"/>
    <w:rsid w:val="0065064E"/>
    <w:rsid w:val="00651CA5"/>
    <w:rsid w:val="00652542"/>
    <w:rsid w:val="00652600"/>
    <w:rsid w:val="00652C81"/>
    <w:rsid w:val="00657A1A"/>
    <w:rsid w:val="00661874"/>
    <w:rsid w:val="00662635"/>
    <w:rsid w:val="006634C7"/>
    <w:rsid w:val="006708BA"/>
    <w:rsid w:val="00670B7D"/>
    <w:rsid w:val="00671D3A"/>
    <w:rsid w:val="00671D3E"/>
    <w:rsid w:val="0067673B"/>
    <w:rsid w:val="006773AB"/>
    <w:rsid w:val="00680400"/>
    <w:rsid w:val="00680C95"/>
    <w:rsid w:val="00683E22"/>
    <w:rsid w:val="006857C3"/>
    <w:rsid w:val="00691439"/>
    <w:rsid w:val="0069288B"/>
    <w:rsid w:val="00693012"/>
    <w:rsid w:val="006934B5"/>
    <w:rsid w:val="006946BB"/>
    <w:rsid w:val="006972AD"/>
    <w:rsid w:val="00697BAD"/>
    <w:rsid w:val="006A209E"/>
    <w:rsid w:val="006A2416"/>
    <w:rsid w:val="006A2693"/>
    <w:rsid w:val="006A471B"/>
    <w:rsid w:val="006A5E20"/>
    <w:rsid w:val="006B17F7"/>
    <w:rsid w:val="006B1B3C"/>
    <w:rsid w:val="006B322C"/>
    <w:rsid w:val="006B32BF"/>
    <w:rsid w:val="006B444E"/>
    <w:rsid w:val="006C17F8"/>
    <w:rsid w:val="006C3121"/>
    <w:rsid w:val="006C34E7"/>
    <w:rsid w:val="006C5854"/>
    <w:rsid w:val="006C71F2"/>
    <w:rsid w:val="006D03F5"/>
    <w:rsid w:val="006D073C"/>
    <w:rsid w:val="006D1331"/>
    <w:rsid w:val="006D1A81"/>
    <w:rsid w:val="006D24A5"/>
    <w:rsid w:val="006D39D0"/>
    <w:rsid w:val="006D3D1B"/>
    <w:rsid w:val="006D4403"/>
    <w:rsid w:val="006E093A"/>
    <w:rsid w:val="006E22F6"/>
    <w:rsid w:val="006E2BE6"/>
    <w:rsid w:val="006E2EAB"/>
    <w:rsid w:val="006E4F70"/>
    <w:rsid w:val="006E526A"/>
    <w:rsid w:val="006F08C6"/>
    <w:rsid w:val="006F2783"/>
    <w:rsid w:val="006F2CE6"/>
    <w:rsid w:val="006F4AAE"/>
    <w:rsid w:val="006F5D6A"/>
    <w:rsid w:val="006F6E1C"/>
    <w:rsid w:val="006F715E"/>
    <w:rsid w:val="007005CA"/>
    <w:rsid w:val="00700761"/>
    <w:rsid w:val="00702852"/>
    <w:rsid w:val="00702A98"/>
    <w:rsid w:val="00702FAD"/>
    <w:rsid w:val="00706136"/>
    <w:rsid w:val="00710858"/>
    <w:rsid w:val="007134A0"/>
    <w:rsid w:val="00716232"/>
    <w:rsid w:val="007162F2"/>
    <w:rsid w:val="00716C3D"/>
    <w:rsid w:val="007178E8"/>
    <w:rsid w:val="00722AE8"/>
    <w:rsid w:val="0072305D"/>
    <w:rsid w:val="0072360C"/>
    <w:rsid w:val="00723937"/>
    <w:rsid w:val="007303CA"/>
    <w:rsid w:val="00730F53"/>
    <w:rsid w:val="0073247B"/>
    <w:rsid w:val="00733D3D"/>
    <w:rsid w:val="007362BA"/>
    <w:rsid w:val="00740AB8"/>
    <w:rsid w:val="0074467B"/>
    <w:rsid w:val="00744E34"/>
    <w:rsid w:val="00747593"/>
    <w:rsid w:val="00751696"/>
    <w:rsid w:val="0075295F"/>
    <w:rsid w:val="00753911"/>
    <w:rsid w:val="00753AD4"/>
    <w:rsid w:val="007545CE"/>
    <w:rsid w:val="0075504F"/>
    <w:rsid w:val="007627B2"/>
    <w:rsid w:val="00770B79"/>
    <w:rsid w:val="007740D4"/>
    <w:rsid w:val="00775D17"/>
    <w:rsid w:val="00777B97"/>
    <w:rsid w:val="007802AE"/>
    <w:rsid w:val="007823C8"/>
    <w:rsid w:val="007838FB"/>
    <w:rsid w:val="007862F9"/>
    <w:rsid w:val="00786927"/>
    <w:rsid w:val="00793EB9"/>
    <w:rsid w:val="00797A7D"/>
    <w:rsid w:val="007A198A"/>
    <w:rsid w:val="007A2A9E"/>
    <w:rsid w:val="007A577B"/>
    <w:rsid w:val="007A62DB"/>
    <w:rsid w:val="007A6E3D"/>
    <w:rsid w:val="007A7F89"/>
    <w:rsid w:val="007B007C"/>
    <w:rsid w:val="007B2111"/>
    <w:rsid w:val="007B3B6A"/>
    <w:rsid w:val="007B69F4"/>
    <w:rsid w:val="007B7C4C"/>
    <w:rsid w:val="007C261C"/>
    <w:rsid w:val="007C3C54"/>
    <w:rsid w:val="007C74BE"/>
    <w:rsid w:val="007D02E0"/>
    <w:rsid w:val="007D77E3"/>
    <w:rsid w:val="007E1D0E"/>
    <w:rsid w:val="007E5775"/>
    <w:rsid w:val="007E652F"/>
    <w:rsid w:val="007F3469"/>
    <w:rsid w:val="00800509"/>
    <w:rsid w:val="00802140"/>
    <w:rsid w:val="008021AC"/>
    <w:rsid w:val="008069B6"/>
    <w:rsid w:val="00806EB4"/>
    <w:rsid w:val="00807400"/>
    <w:rsid w:val="0081143F"/>
    <w:rsid w:val="00811612"/>
    <w:rsid w:val="00812E89"/>
    <w:rsid w:val="00814C84"/>
    <w:rsid w:val="00815DA7"/>
    <w:rsid w:val="00821CF8"/>
    <w:rsid w:val="00821E29"/>
    <w:rsid w:val="00823195"/>
    <w:rsid w:val="00827788"/>
    <w:rsid w:val="0083025F"/>
    <w:rsid w:val="00830A44"/>
    <w:rsid w:val="00832537"/>
    <w:rsid w:val="00833A64"/>
    <w:rsid w:val="00836155"/>
    <w:rsid w:val="00836D6C"/>
    <w:rsid w:val="00836F29"/>
    <w:rsid w:val="00842435"/>
    <w:rsid w:val="008444D6"/>
    <w:rsid w:val="00847E3F"/>
    <w:rsid w:val="008516BC"/>
    <w:rsid w:val="00853E68"/>
    <w:rsid w:val="00861739"/>
    <w:rsid w:val="008629B0"/>
    <w:rsid w:val="0086311A"/>
    <w:rsid w:val="00864765"/>
    <w:rsid w:val="008648F7"/>
    <w:rsid w:val="008652D5"/>
    <w:rsid w:val="00867CD3"/>
    <w:rsid w:val="008711C0"/>
    <w:rsid w:val="00873BA3"/>
    <w:rsid w:val="0087440C"/>
    <w:rsid w:val="0087519C"/>
    <w:rsid w:val="00880682"/>
    <w:rsid w:val="00880CCA"/>
    <w:rsid w:val="008845F8"/>
    <w:rsid w:val="00885EB1"/>
    <w:rsid w:val="00886FAA"/>
    <w:rsid w:val="008877BC"/>
    <w:rsid w:val="008904F9"/>
    <w:rsid w:val="00890BE1"/>
    <w:rsid w:val="00891F38"/>
    <w:rsid w:val="00892379"/>
    <w:rsid w:val="0089486B"/>
    <w:rsid w:val="00894B9F"/>
    <w:rsid w:val="00894CF8"/>
    <w:rsid w:val="008957D3"/>
    <w:rsid w:val="00895CD4"/>
    <w:rsid w:val="00896298"/>
    <w:rsid w:val="00896432"/>
    <w:rsid w:val="00896A4D"/>
    <w:rsid w:val="00897DC3"/>
    <w:rsid w:val="008A058C"/>
    <w:rsid w:val="008A074F"/>
    <w:rsid w:val="008A2897"/>
    <w:rsid w:val="008A296B"/>
    <w:rsid w:val="008A3968"/>
    <w:rsid w:val="008A5EF8"/>
    <w:rsid w:val="008A77CB"/>
    <w:rsid w:val="008A7B24"/>
    <w:rsid w:val="008B142A"/>
    <w:rsid w:val="008B394A"/>
    <w:rsid w:val="008B3CB8"/>
    <w:rsid w:val="008B51EC"/>
    <w:rsid w:val="008B539C"/>
    <w:rsid w:val="008B5518"/>
    <w:rsid w:val="008B5690"/>
    <w:rsid w:val="008B5D46"/>
    <w:rsid w:val="008B6972"/>
    <w:rsid w:val="008B6DF2"/>
    <w:rsid w:val="008B6F11"/>
    <w:rsid w:val="008B718D"/>
    <w:rsid w:val="008B7AC8"/>
    <w:rsid w:val="008C0225"/>
    <w:rsid w:val="008C0D4A"/>
    <w:rsid w:val="008C3079"/>
    <w:rsid w:val="008C3AF2"/>
    <w:rsid w:val="008C4CBE"/>
    <w:rsid w:val="008C5723"/>
    <w:rsid w:val="008C5CC6"/>
    <w:rsid w:val="008C6A19"/>
    <w:rsid w:val="008D21B7"/>
    <w:rsid w:val="008D26B8"/>
    <w:rsid w:val="008D2A32"/>
    <w:rsid w:val="008D31A2"/>
    <w:rsid w:val="008D3ADB"/>
    <w:rsid w:val="008D511F"/>
    <w:rsid w:val="008E1B45"/>
    <w:rsid w:val="008E1E82"/>
    <w:rsid w:val="008E2829"/>
    <w:rsid w:val="008E3435"/>
    <w:rsid w:val="008E6E4D"/>
    <w:rsid w:val="008E75FE"/>
    <w:rsid w:val="008E7C7B"/>
    <w:rsid w:val="008F19F4"/>
    <w:rsid w:val="008F3F5E"/>
    <w:rsid w:val="008F4325"/>
    <w:rsid w:val="008F4735"/>
    <w:rsid w:val="008F478A"/>
    <w:rsid w:val="008F6A95"/>
    <w:rsid w:val="008F7457"/>
    <w:rsid w:val="00911EDE"/>
    <w:rsid w:val="00912A93"/>
    <w:rsid w:val="00913D6F"/>
    <w:rsid w:val="0091438B"/>
    <w:rsid w:val="00914888"/>
    <w:rsid w:val="00914BC1"/>
    <w:rsid w:val="00915497"/>
    <w:rsid w:val="0091560D"/>
    <w:rsid w:val="00916308"/>
    <w:rsid w:val="00916CA2"/>
    <w:rsid w:val="00917392"/>
    <w:rsid w:val="0091755E"/>
    <w:rsid w:val="00920C1C"/>
    <w:rsid w:val="009216D3"/>
    <w:rsid w:val="00922B6D"/>
    <w:rsid w:val="00924E12"/>
    <w:rsid w:val="00924F01"/>
    <w:rsid w:val="009330D8"/>
    <w:rsid w:val="0093317B"/>
    <w:rsid w:val="00933722"/>
    <w:rsid w:val="009371DD"/>
    <w:rsid w:val="00941418"/>
    <w:rsid w:val="00943D83"/>
    <w:rsid w:val="009440F3"/>
    <w:rsid w:val="00947275"/>
    <w:rsid w:val="00947C3F"/>
    <w:rsid w:val="00947C97"/>
    <w:rsid w:val="00950C04"/>
    <w:rsid w:val="0095148B"/>
    <w:rsid w:val="0095164E"/>
    <w:rsid w:val="00956B63"/>
    <w:rsid w:val="00961BD2"/>
    <w:rsid w:val="0096200B"/>
    <w:rsid w:val="0096261D"/>
    <w:rsid w:val="009644C0"/>
    <w:rsid w:val="00964D31"/>
    <w:rsid w:val="009657AE"/>
    <w:rsid w:val="009667F1"/>
    <w:rsid w:val="00966E8A"/>
    <w:rsid w:val="00967A76"/>
    <w:rsid w:val="00972012"/>
    <w:rsid w:val="0097255F"/>
    <w:rsid w:val="00973282"/>
    <w:rsid w:val="00973EA7"/>
    <w:rsid w:val="00974E3F"/>
    <w:rsid w:val="00976558"/>
    <w:rsid w:val="009765BD"/>
    <w:rsid w:val="00976CE0"/>
    <w:rsid w:val="00977388"/>
    <w:rsid w:val="00977493"/>
    <w:rsid w:val="00981E18"/>
    <w:rsid w:val="009842E9"/>
    <w:rsid w:val="00985599"/>
    <w:rsid w:val="009919D7"/>
    <w:rsid w:val="00992E33"/>
    <w:rsid w:val="009930C3"/>
    <w:rsid w:val="0099415E"/>
    <w:rsid w:val="00995B71"/>
    <w:rsid w:val="0099629A"/>
    <w:rsid w:val="009A00C4"/>
    <w:rsid w:val="009A137D"/>
    <w:rsid w:val="009A2381"/>
    <w:rsid w:val="009A364A"/>
    <w:rsid w:val="009A38E7"/>
    <w:rsid w:val="009B01FB"/>
    <w:rsid w:val="009B2245"/>
    <w:rsid w:val="009B28D6"/>
    <w:rsid w:val="009C1FB9"/>
    <w:rsid w:val="009C4852"/>
    <w:rsid w:val="009C67C6"/>
    <w:rsid w:val="009C7C55"/>
    <w:rsid w:val="009D159C"/>
    <w:rsid w:val="009D240B"/>
    <w:rsid w:val="009D2418"/>
    <w:rsid w:val="009D31B1"/>
    <w:rsid w:val="009D45A0"/>
    <w:rsid w:val="009D5DDD"/>
    <w:rsid w:val="009E3356"/>
    <w:rsid w:val="009E3B79"/>
    <w:rsid w:val="009E625E"/>
    <w:rsid w:val="009E6673"/>
    <w:rsid w:val="009F02B0"/>
    <w:rsid w:val="009F060F"/>
    <w:rsid w:val="009F2C28"/>
    <w:rsid w:val="009F6740"/>
    <w:rsid w:val="00A016A1"/>
    <w:rsid w:val="00A02D71"/>
    <w:rsid w:val="00A033D1"/>
    <w:rsid w:val="00A039F9"/>
    <w:rsid w:val="00A03A10"/>
    <w:rsid w:val="00A03ECA"/>
    <w:rsid w:val="00A0494E"/>
    <w:rsid w:val="00A0661E"/>
    <w:rsid w:val="00A1029E"/>
    <w:rsid w:val="00A102BA"/>
    <w:rsid w:val="00A15450"/>
    <w:rsid w:val="00A16F14"/>
    <w:rsid w:val="00A207C9"/>
    <w:rsid w:val="00A26FA9"/>
    <w:rsid w:val="00A307CB"/>
    <w:rsid w:val="00A37EF4"/>
    <w:rsid w:val="00A4177A"/>
    <w:rsid w:val="00A42BCF"/>
    <w:rsid w:val="00A43E47"/>
    <w:rsid w:val="00A4747D"/>
    <w:rsid w:val="00A50CAF"/>
    <w:rsid w:val="00A55B47"/>
    <w:rsid w:val="00A569CA"/>
    <w:rsid w:val="00A571FF"/>
    <w:rsid w:val="00A57D61"/>
    <w:rsid w:val="00A57DEC"/>
    <w:rsid w:val="00A622A9"/>
    <w:rsid w:val="00A627CF"/>
    <w:rsid w:val="00A63330"/>
    <w:rsid w:val="00A64883"/>
    <w:rsid w:val="00A66724"/>
    <w:rsid w:val="00A71F5F"/>
    <w:rsid w:val="00A72A00"/>
    <w:rsid w:val="00A733BF"/>
    <w:rsid w:val="00A7493B"/>
    <w:rsid w:val="00A74F52"/>
    <w:rsid w:val="00A75EB3"/>
    <w:rsid w:val="00A80148"/>
    <w:rsid w:val="00A81CC3"/>
    <w:rsid w:val="00A82521"/>
    <w:rsid w:val="00A86B40"/>
    <w:rsid w:val="00A902B4"/>
    <w:rsid w:val="00A90B03"/>
    <w:rsid w:val="00A91721"/>
    <w:rsid w:val="00A91E0E"/>
    <w:rsid w:val="00A9289B"/>
    <w:rsid w:val="00A93B8B"/>
    <w:rsid w:val="00A945A9"/>
    <w:rsid w:val="00A9498D"/>
    <w:rsid w:val="00A96132"/>
    <w:rsid w:val="00A9700B"/>
    <w:rsid w:val="00AA0787"/>
    <w:rsid w:val="00AA1A6C"/>
    <w:rsid w:val="00AA1DD7"/>
    <w:rsid w:val="00AA33A9"/>
    <w:rsid w:val="00AA3472"/>
    <w:rsid w:val="00AA3925"/>
    <w:rsid w:val="00AA4AA1"/>
    <w:rsid w:val="00AA68EB"/>
    <w:rsid w:val="00AA7562"/>
    <w:rsid w:val="00AA75B1"/>
    <w:rsid w:val="00AA768C"/>
    <w:rsid w:val="00AB2128"/>
    <w:rsid w:val="00AB24EF"/>
    <w:rsid w:val="00AB3068"/>
    <w:rsid w:val="00AB3F07"/>
    <w:rsid w:val="00AB5465"/>
    <w:rsid w:val="00AB5C15"/>
    <w:rsid w:val="00AB60AA"/>
    <w:rsid w:val="00AB6F2F"/>
    <w:rsid w:val="00AC0B61"/>
    <w:rsid w:val="00AC3629"/>
    <w:rsid w:val="00AC46C6"/>
    <w:rsid w:val="00AC60FC"/>
    <w:rsid w:val="00AC694B"/>
    <w:rsid w:val="00AC69C1"/>
    <w:rsid w:val="00AC7FF2"/>
    <w:rsid w:val="00AD194D"/>
    <w:rsid w:val="00AD27D3"/>
    <w:rsid w:val="00AD52C2"/>
    <w:rsid w:val="00AE1D4A"/>
    <w:rsid w:val="00AE3319"/>
    <w:rsid w:val="00AF12CD"/>
    <w:rsid w:val="00AF175A"/>
    <w:rsid w:val="00AF1A0A"/>
    <w:rsid w:val="00AF1E23"/>
    <w:rsid w:val="00AF26A0"/>
    <w:rsid w:val="00AF2A55"/>
    <w:rsid w:val="00AF30AC"/>
    <w:rsid w:val="00AF6C67"/>
    <w:rsid w:val="00AF76B0"/>
    <w:rsid w:val="00B0137C"/>
    <w:rsid w:val="00B018FB"/>
    <w:rsid w:val="00B02353"/>
    <w:rsid w:val="00B03255"/>
    <w:rsid w:val="00B05597"/>
    <w:rsid w:val="00B05697"/>
    <w:rsid w:val="00B06853"/>
    <w:rsid w:val="00B07E69"/>
    <w:rsid w:val="00B1351B"/>
    <w:rsid w:val="00B14A69"/>
    <w:rsid w:val="00B16731"/>
    <w:rsid w:val="00B17EC9"/>
    <w:rsid w:val="00B17F12"/>
    <w:rsid w:val="00B21053"/>
    <w:rsid w:val="00B215E0"/>
    <w:rsid w:val="00B22A2E"/>
    <w:rsid w:val="00B22F30"/>
    <w:rsid w:val="00B233D6"/>
    <w:rsid w:val="00B275FD"/>
    <w:rsid w:val="00B3050E"/>
    <w:rsid w:val="00B31606"/>
    <w:rsid w:val="00B31A31"/>
    <w:rsid w:val="00B34661"/>
    <w:rsid w:val="00B4086E"/>
    <w:rsid w:val="00B41D9C"/>
    <w:rsid w:val="00B44726"/>
    <w:rsid w:val="00B44BB7"/>
    <w:rsid w:val="00B45575"/>
    <w:rsid w:val="00B45CEC"/>
    <w:rsid w:val="00B45F85"/>
    <w:rsid w:val="00B47C56"/>
    <w:rsid w:val="00B503B0"/>
    <w:rsid w:val="00B5147D"/>
    <w:rsid w:val="00B514D5"/>
    <w:rsid w:val="00B522F2"/>
    <w:rsid w:val="00B54BED"/>
    <w:rsid w:val="00B56509"/>
    <w:rsid w:val="00B60136"/>
    <w:rsid w:val="00B60205"/>
    <w:rsid w:val="00B61285"/>
    <w:rsid w:val="00B61617"/>
    <w:rsid w:val="00B616C7"/>
    <w:rsid w:val="00B63347"/>
    <w:rsid w:val="00B637DC"/>
    <w:rsid w:val="00B6394E"/>
    <w:rsid w:val="00B6496A"/>
    <w:rsid w:val="00B650B4"/>
    <w:rsid w:val="00B67524"/>
    <w:rsid w:val="00B703CD"/>
    <w:rsid w:val="00B70DF2"/>
    <w:rsid w:val="00B72369"/>
    <w:rsid w:val="00B734A0"/>
    <w:rsid w:val="00B747EE"/>
    <w:rsid w:val="00B77DA7"/>
    <w:rsid w:val="00B806DF"/>
    <w:rsid w:val="00B8079F"/>
    <w:rsid w:val="00B81E50"/>
    <w:rsid w:val="00B82C78"/>
    <w:rsid w:val="00B8396E"/>
    <w:rsid w:val="00B85D79"/>
    <w:rsid w:val="00B8659D"/>
    <w:rsid w:val="00B87BDB"/>
    <w:rsid w:val="00B95EE5"/>
    <w:rsid w:val="00B977B2"/>
    <w:rsid w:val="00BA00BC"/>
    <w:rsid w:val="00BA0AFE"/>
    <w:rsid w:val="00BA0BA8"/>
    <w:rsid w:val="00BA1B40"/>
    <w:rsid w:val="00BA3B05"/>
    <w:rsid w:val="00BA6BEE"/>
    <w:rsid w:val="00BA738D"/>
    <w:rsid w:val="00BA7D20"/>
    <w:rsid w:val="00BB3101"/>
    <w:rsid w:val="00BB53E8"/>
    <w:rsid w:val="00BC0CF0"/>
    <w:rsid w:val="00BC538A"/>
    <w:rsid w:val="00BC5A27"/>
    <w:rsid w:val="00BC6AFB"/>
    <w:rsid w:val="00BC6B81"/>
    <w:rsid w:val="00BC7D37"/>
    <w:rsid w:val="00BD2F75"/>
    <w:rsid w:val="00BD4405"/>
    <w:rsid w:val="00BD6A90"/>
    <w:rsid w:val="00BE000D"/>
    <w:rsid w:val="00BE08EB"/>
    <w:rsid w:val="00BE1D85"/>
    <w:rsid w:val="00BE2148"/>
    <w:rsid w:val="00BE32A1"/>
    <w:rsid w:val="00BE3449"/>
    <w:rsid w:val="00BE4D04"/>
    <w:rsid w:val="00BE5EF9"/>
    <w:rsid w:val="00BF44C0"/>
    <w:rsid w:val="00BF5D9F"/>
    <w:rsid w:val="00C026E9"/>
    <w:rsid w:val="00C03D29"/>
    <w:rsid w:val="00C05278"/>
    <w:rsid w:val="00C05E26"/>
    <w:rsid w:val="00C071D0"/>
    <w:rsid w:val="00C074E2"/>
    <w:rsid w:val="00C07A47"/>
    <w:rsid w:val="00C07C15"/>
    <w:rsid w:val="00C11A2F"/>
    <w:rsid w:val="00C11C26"/>
    <w:rsid w:val="00C132E1"/>
    <w:rsid w:val="00C132F6"/>
    <w:rsid w:val="00C14B50"/>
    <w:rsid w:val="00C15330"/>
    <w:rsid w:val="00C16C41"/>
    <w:rsid w:val="00C267F1"/>
    <w:rsid w:val="00C26D3E"/>
    <w:rsid w:val="00C30821"/>
    <w:rsid w:val="00C3266C"/>
    <w:rsid w:val="00C327DF"/>
    <w:rsid w:val="00C32F40"/>
    <w:rsid w:val="00C333A4"/>
    <w:rsid w:val="00C36E6D"/>
    <w:rsid w:val="00C37E0D"/>
    <w:rsid w:val="00C408C3"/>
    <w:rsid w:val="00C41E86"/>
    <w:rsid w:val="00C42D11"/>
    <w:rsid w:val="00C456A5"/>
    <w:rsid w:val="00C4725B"/>
    <w:rsid w:val="00C475DC"/>
    <w:rsid w:val="00C52934"/>
    <w:rsid w:val="00C53949"/>
    <w:rsid w:val="00C55776"/>
    <w:rsid w:val="00C560FB"/>
    <w:rsid w:val="00C56BAA"/>
    <w:rsid w:val="00C57648"/>
    <w:rsid w:val="00C61053"/>
    <w:rsid w:val="00C61709"/>
    <w:rsid w:val="00C61C9B"/>
    <w:rsid w:val="00C62285"/>
    <w:rsid w:val="00C631F8"/>
    <w:rsid w:val="00C641DB"/>
    <w:rsid w:val="00C703D5"/>
    <w:rsid w:val="00C7147D"/>
    <w:rsid w:val="00C72262"/>
    <w:rsid w:val="00C73943"/>
    <w:rsid w:val="00C7465F"/>
    <w:rsid w:val="00C75664"/>
    <w:rsid w:val="00C7756B"/>
    <w:rsid w:val="00C77EC8"/>
    <w:rsid w:val="00C82400"/>
    <w:rsid w:val="00C82D04"/>
    <w:rsid w:val="00C83B33"/>
    <w:rsid w:val="00C83BC4"/>
    <w:rsid w:val="00C843B6"/>
    <w:rsid w:val="00C85D9B"/>
    <w:rsid w:val="00C86D05"/>
    <w:rsid w:val="00C91367"/>
    <w:rsid w:val="00C91508"/>
    <w:rsid w:val="00C917E3"/>
    <w:rsid w:val="00C91A97"/>
    <w:rsid w:val="00C92F6D"/>
    <w:rsid w:val="00CA01DF"/>
    <w:rsid w:val="00CA2D30"/>
    <w:rsid w:val="00CA42A1"/>
    <w:rsid w:val="00CA6F65"/>
    <w:rsid w:val="00CA7442"/>
    <w:rsid w:val="00CA7DE0"/>
    <w:rsid w:val="00CB1465"/>
    <w:rsid w:val="00CB56C9"/>
    <w:rsid w:val="00CC0C7D"/>
    <w:rsid w:val="00CC18BB"/>
    <w:rsid w:val="00CC1C44"/>
    <w:rsid w:val="00CC44A7"/>
    <w:rsid w:val="00CC4D5A"/>
    <w:rsid w:val="00CC52F6"/>
    <w:rsid w:val="00CC5726"/>
    <w:rsid w:val="00CD0988"/>
    <w:rsid w:val="00CD0BA3"/>
    <w:rsid w:val="00CD523F"/>
    <w:rsid w:val="00CD5927"/>
    <w:rsid w:val="00CE00A5"/>
    <w:rsid w:val="00CE0B0B"/>
    <w:rsid w:val="00CE2447"/>
    <w:rsid w:val="00CE2C31"/>
    <w:rsid w:val="00CE365F"/>
    <w:rsid w:val="00CE416A"/>
    <w:rsid w:val="00CE45FB"/>
    <w:rsid w:val="00CF18FC"/>
    <w:rsid w:val="00CF2204"/>
    <w:rsid w:val="00CF3624"/>
    <w:rsid w:val="00CF4D43"/>
    <w:rsid w:val="00CF5AF8"/>
    <w:rsid w:val="00CF624F"/>
    <w:rsid w:val="00D00478"/>
    <w:rsid w:val="00D02869"/>
    <w:rsid w:val="00D03250"/>
    <w:rsid w:val="00D0433B"/>
    <w:rsid w:val="00D06450"/>
    <w:rsid w:val="00D0712E"/>
    <w:rsid w:val="00D10C7D"/>
    <w:rsid w:val="00D118C8"/>
    <w:rsid w:val="00D13A10"/>
    <w:rsid w:val="00D15314"/>
    <w:rsid w:val="00D15FEB"/>
    <w:rsid w:val="00D171B5"/>
    <w:rsid w:val="00D20ED8"/>
    <w:rsid w:val="00D21B12"/>
    <w:rsid w:val="00D2586E"/>
    <w:rsid w:val="00D30AD1"/>
    <w:rsid w:val="00D322EB"/>
    <w:rsid w:val="00D32F6B"/>
    <w:rsid w:val="00D40721"/>
    <w:rsid w:val="00D42F8B"/>
    <w:rsid w:val="00D43600"/>
    <w:rsid w:val="00D460B3"/>
    <w:rsid w:val="00D463CD"/>
    <w:rsid w:val="00D46582"/>
    <w:rsid w:val="00D46D69"/>
    <w:rsid w:val="00D46DB3"/>
    <w:rsid w:val="00D5126B"/>
    <w:rsid w:val="00D51336"/>
    <w:rsid w:val="00D526A9"/>
    <w:rsid w:val="00D527C0"/>
    <w:rsid w:val="00D53897"/>
    <w:rsid w:val="00D54D2B"/>
    <w:rsid w:val="00D54F26"/>
    <w:rsid w:val="00D54F65"/>
    <w:rsid w:val="00D55D6D"/>
    <w:rsid w:val="00D56EBE"/>
    <w:rsid w:val="00D60DB8"/>
    <w:rsid w:val="00D610D8"/>
    <w:rsid w:val="00D611C4"/>
    <w:rsid w:val="00D616C9"/>
    <w:rsid w:val="00D61A7A"/>
    <w:rsid w:val="00D62456"/>
    <w:rsid w:val="00D6402A"/>
    <w:rsid w:val="00D64F2F"/>
    <w:rsid w:val="00D67AFF"/>
    <w:rsid w:val="00D70D8D"/>
    <w:rsid w:val="00D71438"/>
    <w:rsid w:val="00D723A3"/>
    <w:rsid w:val="00D72A92"/>
    <w:rsid w:val="00D73ECE"/>
    <w:rsid w:val="00D74113"/>
    <w:rsid w:val="00D74227"/>
    <w:rsid w:val="00D75561"/>
    <w:rsid w:val="00D755EE"/>
    <w:rsid w:val="00D80D69"/>
    <w:rsid w:val="00D81151"/>
    <w:rsid w:val="00D83793"/>
    <w:rsid w:val="00D83E45"/>
    <w:rsid w:val="00D90058"/>
    <w:rsid w:val="00D9033D"/>
    <w:rsid w:val="00D90437"/>
    <w:rsid w:val="00D90607"/>
    <w:rsid w:val="00D9131A"/>
    <w:rsid w:val="00D9459A"/>
    <w:rsid w:val="00DA02AA"/>
    <w:rsid w:val="00DA03BD"/>
    <w:rsid w:val="00DA124B"/>
    <w:rsid w:val="00DA1C3E"/>
    <w:rsid w:val="00DA2A70"/>
    <w:rsid w:val="00DA609D"/>
    <w:rsid w:val="00DB06B9"/>
    <w:rsid w:val="00DB0840"/>
    <w:rsid w:val="00DB0EB3"/>
    <w:rsid w:val="00DB16CB"/>
    <w:rsid w:val="00DB1E0C"/>
    <w:rsid w:val="00DB2809"/>
    <w:rsid w:val="00DB3F38"/>
    <w:rsid w:val="00DB4EF2"/>
    <w:rsid w:val="00DB5917"/>
    <w:rsid w:val="00DB5E80"/>
    <w:rsid w:val="00DC21C9"/>
    <w:rsid w:val="00DC24B6"/>
    <w:rsid w:val="00DC4985"/>
    <w:rsid w:val="00DC50D4"/>
    <w:rsid w:val="00DC7C64"/>
    <w:rsid w:val="00DD03A0"/>
    <w:rsid w:val="00DD03AA"/>
    <w:rsid w:val="00DD08B2"/>
    <w:rsid w:val="00DD1375"/>
    <w:rsid w:val="00DD330D"/>
    <w:rsid w:val="00DD3E92"/>
    <w:rsid w:val="00DD3F44"/>
    <w:rsid w:val="00DD6408"/>
    <w:rsid w:val="00DE3B5E"/>
    <w:rsid w:val="00DE3E3A"/>
    <w:rsid w:val="00DE59A5"/>
    <w:rsid w:val="00DE6D88"/>
    <w:rsid w:val="00DF0285"/>
    <w:rsid w:val="00DF02B4"/>
    <w:rsid w:val="00DF0F4A"/>
    <w:rsid w:val="00DF21D0"/>
    <w:rsid w:val="00DF30F3"/>
    <w:rsid w:val="00DF52E6"/>
    <w:rsid w:val="00DF5449"/>
    <w:rsid w:val="00E018DD"/>
    <w:rsid w:val="00E02D95"/>
    <w:rsid w:val="00E04C0A"/>
    <w:rsid w:val="00E054BB"/>
    <w:rsid w:val="00E057DD"/>
    <w:rsid w:val="00E06BCD"/>
    <w:rsid w:val="00E06D28"/>
    <w:rsid w:val="00E1043F"/>
    <w:rsid w:val="00E14478"/>
    <w:rsid w:val="00E14F25"/>
    <w:rsid w:val="00E162E1"/>
    <w:rsid w:val="00E21416"/>
    <w:rsid w:val="00E226A8"/>
    <w:rsid w:val="00E22AF7"/>
    <w:rsid w:val="00E249DD"/>
    <w:rsid w:val="00E25C22"/>
    <w:rsid w:val="00E266ED"/>
    <w:rsid w:val="00E34DED"/>
    <w:rsid w:val="00E364D4"/>
    <w:rsid w:val="00E4017A"/>
    <w:rsid w:val="00E418C2"/>
    <w:rsid w:val="00E43C54"/>
    <w:rsid w:val="00E43D51"/>
    <w:rsid w:val="00E44DF4"/>
    <w:rsid w:val="00E4503E"/>
    <w:rsid w:val="00E4537A"/>
    <w:rsid w:val="00E46913"/>
    <w:rsid w:val="00E51235"/>
    <w:rsid w:val="00E53293"/>
    <w:rsid w:val="00E5439E"/>
    <w:rsid w:val="00E55267"/>
    <w:rsid w:val="00E55683"/>
    <w:rsid w:val="00E562A7"/>
    <w:rsid w:val="00E62010"/>
    <w:rsid w:val="00E62DE9"/>
    <w:rsid w:val="00E661E5"/>
    <w:rsid w:val="00E7021D"/>
    <w:rsid w:val="00E70E23"/>
    <w:rsid w:val="00E75011"/>
    <w:rsid w:val="00E7729E"/>
    <w:rsid w:val="00E81BAB"/>
    <w:rsid w:val="00E82661"/>
    <w:rsid w:val="00E840FE"/>
    <w:rsid w:val="00E8697A"/>
    <w:rsid w:val="00E918E4"/>
    <w:rsid w:val="00EA08F0"/>
    <w:rsid w:val="00EA3769"/>
    <w:rsid w:val="00EA43AF"/>
    <w:rsid w:val="00EA4F01"/>
    <w:rsid w:val="00EA6C2C"/>
    <w:rsid w:val="00EA7BFB"/>
    <w:rsid w:val="00EB24D4"/>
    <w:rsid w:val="00EB2B0E"/>
    <w:rsid w:val="00EB3012"/>
    <w:rsid w:val="00EB31CF"/>
    <w:rsid w:val="00EB3FC3"/>
    <w:rsid w:val="00EB4548"/>
    <w:rsid w:val="00EB5201"/>
    <w:rsid w:val="00EB5CE1"/>
    <w:rsid w:val="00EB7C6A"/>
    <w:rsid w:val="00EC0CF1"/>
    <w:rsid w:val="00EC16CD"/>
    <w:rsid w:val="00EC1A48"/>
    <w:rsid w:val="00EC1D55"/>
    <w:rsid w:val="00EC59A6"/>
    <w:rsid w:val="00EC6033"/>
    <w:rsid w:val="00ED1401"/>
    <w:rsid w:val="00ED2413"/>
    <w:rsid w:val="00EE00AA"/>
    <w:rsid w:val="00EE02CB"/>
    <w:rsid w:val="00EE0373"/>
    <w:rsid w:val="00EE2502"/>
    <w:rsid w:val="00EE2883"/>
    <w:rsid w:val="00EE2CAA"/>
    <w:rsid w:val="00EE4B96"/>
    <w:rsid w:val="00EE75C5"/>
    <w:rsid w:val="00EE782D"/>
    <w:rsid w:val="00EF0509"/>
    <w:rsid w:val="00EF1474"/>
    <w:rsid w:val="00EF207D"/>
    <w:rsid w:val="00EF267D"/>
    <w:rsid w:val="00EF2BF9"/>
    <w:rsid w:val="00EF5215"/>
    <w:rsid w:val="00EF6771"/>
    <w:rsid w:val="00EF6F92"/>
    <w:rsid w:val="00EF78A3"/>
    <w:rsid w:val="00F00F79"/>
    <w:rsid w:val="00F01116"/>
    <w:rsid w:val="00F0757A"/>
    <w:rsid w:val="00F0759D"/>
    <w:rsid w:val="00F0759E"/>
    <w:rsid w:val="00F14C0F"/>
    <w:rsid w:val="00F1740D"/>
    <w:rsid w:val="00F207F8"/>
    <w:rsid w:val="00F21109"/>
    <w:rsid w:val="00F232D0"/>
    <w:rsid w:val="00F25B68"/>
    <w:rsid w:val="00F2695D"/>
    <w:rsid w:val="00F31FC5"/>
    <w:rsid w:val="00F3297D"/>
    <w:rsid w:val="00F32B32"/>
    <w:rsid w:val="00F334C8"/>
    <w:rsid w:val="00F35E1F"/>
    <w:rsid w:val="00F362E9"/>
    <w:rsid w:val="00F400E7"/>
    <w:rsid w:val="00F41A6D"/>
    <w:rsid w:val="00F41F46"/>
    <w:rsid w:val="00F426AE"/>
    <w:rsid w:val="00F42BE4"/>
    <w:rsid w:val="00F432E6"/>
    <w:rsid w:val="00F465BC"/>
    <w:rsid w:val="00F54F5F"/>
    <w:rsid w:val="00F55223"/>
    <w:rsid w:val="00F56A85"/>
    <w:rsid w:val="00F57D6D"/>
    <w:rsid w:val="00F60002"/>
    <w:rsid w:val="00F604D7"/>
    <w:rsid w:val="00F615F6"/>
    <w:rsid w:val="00F64B14"/>
    <w:rsid w:val="00F67C52"/>
    <w:rsid w:val="00F7043F"/>
    <w:rsid w:val="00F7106F"/>
    <w:rsid w:val="00F7625D"/>
    <w:rsid w:val="00F77B7C"/>
    <w:rsid w:val="00F82B40"/>
    <w:rsid w:val="00F83EA2"/>
    <w:rsid w:val="00F87799"/>
    <w:rsid w:val="00F94F7B"/>
    <w:rsid w:val="00FA19C1"/>
    <w:rsid w:val="00FA2423"/>
    <w:rsid w:val="00FA5956"/>
    <w:rsid w:val="00FA65C3"/>
    <w:rsid w:val="00FA7B50"/>
    <w:rsid w:val="00FB0C32"/>
    <w:rsid w:val="00FB0C3D"/>
    <w:rsid w:val="00FB160E"/>
    <w:rsid w:val="00FB1D79"/>
    <w:rsid w:val="00FB231C"/>
    <w:rsid w:val="00FB249F"/>
    <w:rsid w:val="00FB2894"/>
    <w:rsid w:val="00FB3328"/>
    <w:rsid w:val="00FB4A7F"/>
    <w:rsid w:val="00FB56EA"/>
    <w:rsid w:val="00FB6127"/>
    <w:rsid w:val="00FB6ABE"/>
    <w:rsid w:val="00FB7655"/>
    <w:rsid w:val="00FB77CE"/>
    <w:rsid w:val="00FB7925"/>
    <w:rsid w:val="00FC3C2B"/>
    <w:rsid w:val="00FC5B0F"/>
    <w:rsid w:val="00FD17D1"/>
    <w:rsid w:val="00FD1E0E"/>
    <w:rsid w:val="00FD2220"/>
    <w:rsid w:val="00FD22FD"/>
    <w:rsid w:val="00FD2971"/>
    <w:rsid w:val="00FD6A7D"/>
    <w:rsid w:val="00FD6CE9"/>
    <w:rsid w:val="00FD76F6"/>
    <w:rsid w:val="00FE07FE"/>
    <w:rsid w:val="00FE0D5A"/>
    <w:rsid w:val="00FE3E50"/>
    <w:rsid w:val="00FE461F"/>
    <w:rsid w:val="00FE4B17"/>
    <w:rsid w:val="00FE5F93"/>
    <w:rsid w:val="00FE7597"/>
    <w:rsid w:val="00FE7A8B"/>
    <w:rsid w:val="00FF08F2"/>
    <w:rsid w:val="00FF2B6D"/>
    <w:rsid w:val="00FF5F84"/>
    <w:rsid w:val="01176CEA"/>
    <w:rsid w:val="013A2911"/>
    <w:rsid w:val="018D2CDE"/>
    <w:rsid w:val="02237153"/>
    <w:rsid w:val="02435EE5"/>
    <w:rsid w:val="02816DC4"/>
    <w:rsid w:val="028D37FB"/>
    <w:rsid w:val="02AD39E9"/>
    <w:rsid w:val="02CF01B1"/>
    <w:rsid w:val="02DD2615"/>
    <w:rsid w:val="03005F32"/>
    <w:rsid w:val="030D40D0"/>
    <w:rsid w:val="031E7295"/>
    <w:rsid w:val="03343341"/>
    <w:rsid w:val="03733562"/>
    <w:rsid w:val="038D108E"/>
    <w:rsid w:val="038F72EC"/>
    <w:rsid w:val="03A865D9"/>
    <w:rsid w:val="03AD4A6D"/>
    <w:rsid w:val="04220EB1"/>
    <w:rsid w:val="04226A84"/>
    <w:rsid w:val="04371027"/>
    <w:rsid w:val="043A4A2A"/>
    <w:rsid w:val="04A3318B"/>
    <w:rsid w:val="04C64E02"/>
    <w:rsid w:val="0503641B"/>
    <w:rsid w:val="05105A18"/>
    <w:rsid w:val="056104BC"/>
    <w:rsid w:val="0598401E"/>
    <w:rsid w:val="05B9404A"/>
    <w:rsid w:val="05C2125A"/>
    <w:rsid w:val="05E67615"/>
    <w:rsid w:val="05FA5D1E"/>
    <w:rsid w:val="0605178D"/>
    <w:rsid w:val="06236F09"/>
    <w:rsid w:val="062C661A"/>
    <w:rsid w:val="064D0C7B"/>
    <w:rsid w:val="066F4A33"/>
    <w:rsid w:val="0693255A"/>
    <w:rsid w:val="06EA2838"/>
    <w:rsid w:val="070161F7"/>
    <w:rsid w:val="072E4129"/>
    <w:rsid w:val="075925E6"/>
    <w:rsid w:val="07992F5A"/>
    <w:rsid w:val="07BB7068"/>
    <w:rsid w:val="080A3FCD"/>
    <w:rsid w:val="0827239F"/>
    <w:rsid w:val="083D5237"/>
    <w:rsid w:val="084142D3"/>
    <w:rsid w:val="08537854"/>
    <w:rsid w:val="08675B42"/>
    <w:rsid w:val="08B34FDB"/>
    <w:rsid w:val="09680BBB"/>
    <w:rsid w:val="09871B38"/>
    <w:rsid w:val="0A132998"/>
    <w:rsid w:val="0A4B5634"/>
    <w:rsid w:val="0AD3407A"/>
    <w:rsid w:val="0AE07D73"/>
    <w:rsid w:val="0AF134B2"/>
    <w:rsid w:val="0B1D1A32"/>
    <w:rsid w:val="0B1D4B9F"/>
    <w:rsid w:val="0BA13B35"/>
    <w:rsid w:val="0BBC2399"/>
    <w:rsid w:val="0BCF27F9"/>
    <w:rsid w:val="0C23126C"/>
    <w:rsid w:val="0C81081E"/>
    <w:rsid w:val="0C8A0B43"/>
    <w:rsid w:val="0C8D26EF"/>
    <w:rsid w:val="0CBB0DCD"/>
    <w:rsid w:val="0CC61161"/>
    <w:rsid w:val="0D850800"/>
    <w:rsid w:val="0D8B0F9C"/>
    <w:rsid w:val="0D936180"/>
    <w:rsid w:val="0D97210F"/>
    <w:rsid w:val="0DA21979"/>
    <w:rsid w:val="0E920773"/>
    <w:rsid w:val="0E9E7E62"/>
    <w:rsid w:val="0ECD436B"/>
    <w:rsid w:val="0ED52CCF"/>
    <w:rsid w:val="0F00639D"/>
    <w:rsid w:val="0F075B3D"/>
    <w:rsid w:val="0F413EB1"/>
    <w:rsid w:val="0F74290B"/>
    <w:rsid w:val="0F7976AC"/>
    <w:rsid w:val="0FEE7B63"/>
    <w:rsid w:val="0FF90584"/>
    <w:rsid w:val="0FFE21D2"/>
    <w:rsid w:val="10967BE4"/>
    <w:rsid w:val="10C860A5"/>
    <w:rsid w:val="10DA54EB"/>
    <w:rsid w:val="10FA11B9"/>
    <w:rsid w:val="11105BCB"/>
    <w:rsid w:val="112E5545"/>
    <w:rsid w:val="11D27DC5"/>
    <w:rsid w:val="11D6694D"/>
    <w:rsid w:val="11D72E84"/>
    <w:rsid w:val="11FF3BA3"/>
    <w:rsid w:val="12097EEB"/>
    <w:rsid w:val="12F521C1"/>
    <w:rsid w:val="13062350"/>
    <w:rsid w:val="137551BA"/>
    <w:rsid w:val="138253F3"/>
    <w:rsid w:val="13CA78A4"/>
    <w:rsid w:val="13E90E7D"/>
    <w:rsid w:val="13F803B8"/>
    <w:rsid w:val="13F81771"/>
    <w:rsid w:val="149B346D"/>
    <w:rsid w:val="149D2C0B"/>
    <w:rsid w:val="14D25F4A"/>
    <w:rsid w:val="152336C8"/>
    <w:rsid w:val="15310CF8"/>
    <w:rsid w:val="15447327"/>
    <w:rsid w:val="155B20AD"/>
    <w:rsid w:val="1588570F"/>
    <w:rsid w:val="158F25CA"/>
    <w:rsid w:val="15B21392"/>
    <w:rsid w:val="15EC1418"/>
    <w:rsid w:val="16251A7B"/>
    <w:rsid w:val="168604B3"/>
    <w:rsid w:val="16CD3142"/>
    <w:rsid w:val="16DB572C"/>
    <w:rsid w:val="16FE1415"/>
    <w:rsid w:val="172C29D4"/>
    <w:rsid w:val="17330D1A"/>
    <w:rsid w:val="17564E9E"/>
    <w:rsid w:val="178E3F62"/>
    <w:rsid w:val="179A11D6"/>
    <w:rsid w:val="182B481B"/>
    <w:rsid w:val="187278CB"/>
    <w:rsid w:val="18B25606"/>
    <w:rsid w:val="18C15495"/>
    <w:rsid w:val="19154E02"/>
    <w:rsid w:val="194075FE"/>
    <w:rsid w:val="19877B1F"/>
    <w:rsid w:val="19951B5B"/>
    <w:rsid w:val="19977830"/>
    <w:rsid w:val="19F84C38"/>
    <w:rsid w:val="1A1C7CD0"/>
    <w:rsid w:val="1A202DC3"/>
    <w:rsid w:val="1A595C8F"/>
    <w:rsid w:val="1A5D6431"/>
    <w:rsid w:val="1AAD1ACB"/>
    <w:rsid w:val="1B0C1623"/>
    <w:rsid w:val="1B326183"/>
    <w:rsid w:val="1B3D734C"/>
    <w:rsid w:val="1B447FB2"/>
    <w:rsid w:val="1B5C1BE4"/>
    <w:rsid w:val="1B85705F"/>
    <w:rsid w:val="1B9158C8"/>
    <w:rsid w:val="1B9E0B91"/>
    <w:rsid w:val="1BC00537"/>
    <w:rsid w:val="1BD838BE"/>
    <w:rsid w:val="1BF926A9"/>
    <w:rsid w:val="1BFE3412"/>
    <w:rsid w:val="1C433887"/>
    <w:rsid w:val="1C63352B"/>
    <w:rsid w:val="1C767603"/>
    <w:rsid w:val="1CAC66F9"/>
    <w:rsid w:val="1CC31220"/>
    <w:rsid w:val="1CD1668F"/>
    <w:rsid w:val="1CD24564"/>
    <w:rsid w:val="1CDF509E"/>
    <w:rsid w:val="1D37508A"/>
    <w:rsid w:val="1D442687"/>
    <w:rsid w:val="1D6E7F52"/>
    <w:rsid w:val="1D833AD0"/>
    <w:rsid w:val="1DA7769E"/>
    <w:rsid w:val="1DB54E36"/>
    <w:rsid w:val="1E26544F"/>
    <w:rsid w:val="1EDF0E4F"/>
    <w:rsid w:val="1EF20C24"/>
    <w:rsid w:val="1EFA27BD"/>
    <w:rsid w:val="1F223370"/>
    <w:rsid w:val="1F456C3D"/>
    <w:rsid w:val="1F711687"/>
    <w:rsid w:val="1F7A021E"/>
    <w:rsid w:val="1FAB1086"/>
    <w:rsid w:val="1FF36C63"/>
    <w:rsid w:val="20410D06"/>
    <w:rsid w:val="20710830"/>
    <w:rsid w:val="20794362"/>
    <w:rsid w:val="209B3FAE"/>
    <w:rsid w:val="20A94838"/>
    <w:rsid w:val="20C60967"/>
    <w:rsid w:val="20C95856"/>
    <w:rsid w:val="20DB2918"/>
    <w:rsid w:val="215A3B58"/>
    <w:rsid w:val="21A878A2"/>
    <w:rsid w:val="21B80284"/>
    <w:rsid w:val="21C469B0"/>
    <w:rsid w:val="21C60C94"/>
    <w:rsid w:val="22083A05"/>
    <w:rsid w:val="22096CA7"/>
    <w:rsid w:val="22606E0A"/>
    <w:rsid w:val="22855DAD"/>
    <w:rsid w:val="22895BE8"/>
    <w:rsid w:val="22A95C07"/>
    <w:rsid w:val="23350755"/>
    <w:rsid w:val="23414E98"/>
    <w:rsid w:val="234D01CE"/>
    <w:rsid w:val="23557D99"/>
    <w:rsid w:val="237B467C"/>
    <w:rsid w:val="23B00172"/>
    <w:rsid w:val="23B61459"/>
    <w:rsid w:val="23D36CB2"/>
    <w:rsid w:val="24012D10"/>
    <w:rsid w:val="243F6622"/>
    <w:rsid w:val="24844D27"/>
    <w:rsid w:val="24B95E28"/>
    <w:rsid w:val="24C1538F"/>
    <w:rsid w:val="24E446E9"/>
    <w:rsid w:val="24F80306"/>
    <w:rsid w:val="24FF4E38"/>
    <w:rsid w:val="252213D0"/>
    <w:rsid w:val="25374AF3"/>
    <w:rsid w:val="25450769"/>
    <w:rsid w:val="257B287A"/>
    <w:rsid w:val="25A8674B"/>
    <w:rsid w:val="25C73B3B"/>
    <w:rsid w:val="25D9362D"/>
    <w:rsid w:val="25EA26C1"/>
    <w:rsid w:val="26005B04"/>
    <w:rsid w:val="26080C47"/>
    <w:rsid w:val="27337794"/>
    <w:rsid w:val="27355873"/>
    <w:rsid w:val="275F6C4D"/>
    <w:rsid w:val="27DF6666"/>
    <w:rsid w:val="27E8466F"/>
    <w:rsid w:val="27EE1B5B"/>
    <w:rsid w:val="282E5EC3"/>
    <w:rsid w:val="28354E82"/>
    <w:rsid w:val="28391989"/>
    <w:rsid w:val="28525986"/>
    <w:rsid w:val="285B60A9"/>
    <w:rsid w:val="28652863"/>
    <w:rsid w:val="288A5D4C"/>
    <w:rsid w:val="28A477F3"/>
    <w:rsid w:val="28DD25E0"/>
    <w:rsid w:val="28EC4CD0"/>
    <w:rsid w:val="28FF1F96"/>
    <w:rsid w:val="29064C4D"/>
    <w:rsid w:val="29655D4A"/>
    <w:rsid w:val="29973DBD"/>
    <w:rsid w:val="29DC5247"/>
    <w:rsid w:val="2B1C7180"/>
    <w:rsid w:val="2B591B29"/>
    <w:rsid w:val="2B6644AD"/>
    <w:rsid w:val="2BB22A8A"/>
    <w:rsid w:val="2BC96F52"/>
    <w:rsid w:val="2BEC617B"/>
    <w:rsid w:val="2BF54791"/>
    <w:rsid w:val="2C240C3C"/>
    <w:rsid w:val="2C837CC5"/>
    <w:rsid w:val="2C893779"/>
    <w:rsid w:val="2D0E6475"/>
    <w:rsid w:val="2DB24AA4"/>
    <w:rsid w:val="2DB615D4"/>
    <w:rsid w:val="2DE043C2"/>
    <w:rsid w:val="2E1D46A8"/>
    <w:rsid w:val="2E4F5666"/>
    <w:rsid w:val="2E821397"/>
    <w:rsid w:val="2E8350B5"/>
    <w:rsid w:val="2EC9634C"/>
    <w:rsid w:val="2EE64F31"/>
    <w:rsid w:val="2F421151"/>
    <w:rsid w:val="2F747280"/>
    <w:rsid w:val="2F880E2A"/>
    <w:rsid w:val="2FDC1401"/>
    <w:rsid w:val="30520083"/>
    <w:rsid w:val="30561973"/>
    <w:rsid w:val="308D49A4"/>
    <w:rsid w:val="30917E27"/>
    <w:rsid w:val="30CD0950"/>
    <w:rsid w:val="30ED3219"/>
    <w:rsid w:val="30F636CE"/>
    <w:rsid w:val="31171833"/>
    <w:rsid w:val="31276540"/>
    <w:rsid w:val="31696698"/>
    <w:rsid w:val="3176218B"/>
    <w:rsid w:val="31A352EC"/>
    <w:rsid w:val="31E27719"/>
    <w:rsid w:val="31EB6191"/>
    <w:rsid w:val="32AD43B0"/>
    <w:rsid w:val="32F2307E"/>
    <w:rsid w:val="32F953D2"/>
    <w:rsid w:val="33000A2E"/>
    <w:rsid w:val="331D4D45"/>
    <w:rsid w:val="343B66F8"/>
    <w:rsid w:val="34626DAE"/>
    <w:rsid w:val="348D6D89"/>
    <w:rsid w:val="34AF42A0"/>
    <w:rsid w:val="34B62684"/>
    <w:rsid w:val="34F21765"/>
    <w:rsid w:val="350B05E4"/>
    <w:rsid w:val="3559228C"/>
    <w:rsid w:val="35954B20"/>
    <w:rsid w:val="359B5634"/>
    <w:rsid w:val="359F07A3"/>
    <w:rsid w:val="35B75306"/>
    <w:rsid w:val="35DA7390"/>
    <w:rsid w:val="35DD5BE8"/>
    <w:rsid w:val="35E6793D"/>
    <w:rsid w:val="35F1548B"/>
    <w:rsid w:val="3606181D"/>
    <w:rsid w:val="3667221E"/>
    <w:rsid w:val="3681148B"/>
    <w:rsid w:val="369063FA"/>
    <w:rsid w:val="36A646A7"/>
    <w:rsid w:val="378A2713"/>
    <w:rsid w:val="37AF093D"/>
    <w:rsid w:val="37D24CA4"/>
    <w:rsid w:val="37EB7D7C"/>
    <w:rsid w:val="385942A4"/>
    <w:rsid w:val="38912666"/>
    <w:rsid w:val="38BA31AE"/>
    <w:rsid w:val="38F77026"/>
    <w:rsid w:val="390B3BAD"/>
    <w:rsid w:val="390D6C23"/>
    <w:rsid w:val="39353570"/>
    <w:rsid w:val="3A915C02"/>
    <w:rsid w:val="3AB62979"/>
    <w:rsid w:val="3ABB0228"/>
    <w:rsid w:val="3ACF2DFF"/>
    <w:rsid w:val="3B1E2C92"/>
    <w:rsid w:val="3B627CF4"/>
    <w:rsid w:val="3BB4504B"/>
    <w:rsid w:val="3C0B4EF4"/>
    <w:rsid w:val="3C156AA2"/>
    <w:rsid w:val="3C2F06EC"/>
    <w:rsid w:val="3C6E0DD8"/>
    <w:rsid w:val="3CAF042D"/>
    <w:rsid w:val="3CB46C36"/>
    <w:rsid w:val="3CF22462"/>
    <w:rsid w:val="3D23337D"/>
    <w:rsid w:val="3E793709"/>
    <w:rsid w:val="3E8E06D6"/>
    <w:rsid w:val="3EC576AD"/>
    <w:rsid w:val="3ED50494"/>
    <w:rsid w:val="3FAC2834"/>
    <w:rsid w:val="40A94D33"/>
    <w:rsid w:val="40B01A65"/>
    <w:rsid w:val="40BA7418"/>
    <w:rsid w:val="40C1059D"/>
    <w:rsid w:val="410D3985"/>
    <w:rsid w:val="411C2F72"/>
    <w:rsid w:val="41870684"/>
    <w:rsid w:val="4196177A"/>
    <w:rsid w:val="419D4FD5"/>
    <w:rsid w:val="41C25DC3"/>
    <w:rsid w:val="42114607"/>
    <w:rsid w:val="429B3FB2"/>
    <w:rsid w:val="42B75345"/>
    <w:rsid w:val="430F7D93"/>
    <w:rsid w:val="43265537"/>
    <w:rsid w:val="433656A7"/>
    <w:rsid w:val="4364761E"/>
    <w:rsid w:val="4378508A"/>
    <w:rsid w:val="43BA1751"/>
    <w:rsid w:val="43BF4487"/>
    <w:rsid w:val="43C05D80"/>
    <w:rsid w:val="44284B5F"/>
    <w:rsid w:val="44474811"/>
    <w:rsid w:val="44604933"/>
    <w:rsid w:val="44714AFB"/>
    <w:rsid w:val="44796AC2"/>
    <w:rsid w:val="44C42441"/>
    <w:rsid w:val="44D76C47"/>
    <w:rsid w:val="44FD15D2"/>
    <w:rsid w:val="45130F9E"/>
    <w:rsid w:val="45175857"/>
    <w:rsid w:val="452520DD"/>
    <w:rsid w:val="453B32A8"/>
    <w:rsid w:val="454E77EE"/>
    <w:rsid w:val="461F3EBE"/>
    <w:rsid w:val="464E73A4"/>
    <w:rsid w:val="4684492B"/>
    <w:rsid w:val="46885010"/>
    <w:rsid w:val="469E548C"/>
    <w:rsid w:val="46AD6854"/>
    <w:rsid w:val="46E6637D"/>
    <w:rsid w:val="4705712E"/>
    <w:rsid w:val="472129CA"/>
    <w:rsid w:val="477D7C70"/>
    <w:rsid w:val="47CB3E36"/>
    <w:rsid w:val="47F61B67"/>
    <w:rsid w:val="485A0EA8"/>
    <w:rsid w:val="486354FC"/>
    <w:rsid w:val="48811E6D"/>
    <w:rsid w:val="488A744B"/>
    <w:rsid w:val="48DF35DF"/>
    <w:rsid w:val="492217C7"/>
    <w:rsid w:val="492926C9"/>
    <w:rsid w:val="49725FD1"/>
    <w:rsid w:val="49BF4571"/>
    <w:rsid w:val="4A145737"/>
    <w:rsid w:val="4A365D92"/>
    <w:rsid w:val="4A4F7B6C"/>
    <w:rsid w:val="4A515382"/>
    <w:rsid w:val="4A8B7951"/>
    <w:rsid w:val="4AB34C38"/>
    <w:rsid w:val="4AD51513"/>
    <w:rsid w:val="4AEF427C"/>
    <w:rsid w:val="4BA56ACE"/>
    <w:rsid w:val="4BB23BBB"/>
    <w:rsid w:val="4BB42B60"/>
    <w:rsid w:val="4BCE305D"/>
    <w:rsid w:val="4C4614BD"/>
    <w:rsid w:val="4C936A3B"/>
    <w:rsid w:val="4CEF26B4"/>
    <w:rsid w:val="4D1B4648"/>
    <w:rsid w:val="4D6F59A6"/>
    <w:rsid w:val="4DCA5C65"/>
    <w:rsid w:val="4DEF3BEF"/>
    <w:rsid w:val="4E231736"/>
    <w:rsid w:val="4E27013D"/>
    <w:rsid w:val="4E9354A6"/>
    <w:rsid w:val="4F0F2447"/>
    <w:rsid w:val="4F217F9B"/>
    <w:rsid w:val="4F505B88"/>
    <w:rsid w:val="4F56349A"/>
    <w:rsid w:val="4F604D34"/>
    <w:rsid w:val="4F8E1909"/>
    <w:rsid w:val="50443630"/>
    <w:rsid w:val="504C3368"/>
    <w:rsid w:val="5067612A"/>
    <w:rsid w:val="509C405F"/>
    <w:rsid w:val="50E667B4"/>
    <w:rsid w:val="50F03809"/>
    <w:rsid w:val="50F85818"/>
    <w:rsid w:val="5126460E"/>
    <w:rsid w:val="51766FA2"/>
    <w:rsid w:val="5188598E"/>
    <w:rsid w:val="51936115"/>
    <w:rsid w:val="51D6626D"/>
    <w:rsid w:val="521E7F95"/>
    <w:rsid w:val="523E4376"/>
    <w:rsid w:val="52400863"/>
    <w:rsid w:val="525853E7"/>
    <w:rsid w:val="52973CC9"/>
    <w:rsid w:val="52B20682"/>
    <w:rsid w:val="52CB3E75"/>
    <w:rsid w:val="52F77230"/>
    <w:rsid w:val="532606DF"/>
    <w:rsid w:val="53C564F0"/>
    <w:rsid w:val="53D123DC"/>
    <w:rsid w:val="540D40C4"/>
    <w:rsid w:val="545C5D5F"/>
    <w:rsid w:val="547871EB"/>
    <w:rsid w:val="54793793"/>
    <w:rsid w:val="549D6082"/>
    <w:rsid w:val="54B24082"/>
    <w:rsid w:val="54B57CF7"/>
    <w:rsid w:val="54B946F7"/>
    <w:rsid w:val="54B97DCC"/>
    <w:rsid w:val="54EB63CD"/>
    <w:rsid w:val="551B7C86"/>
    <w:rsid w:val="55384DC6"/>
    <w:rsid w:val="55430C32"/>
    <w:rsid w:val="554B33D8"/>
    <w:rsid w:val="557233A0"/>
    <w:rsid w:val="557E11BB"/>
    <w:rsid w:val="55A550D0"/>
    <w:rsid w:val="56B414EF"/>
    <w:rsid w:val="56BC720C"/>
    <w:rsid w:val="56C647B3"/>
    <w:rsid w:val="56E12E8A"/>
    <w:rsid w:val="56EF5D14"/>
    <w:rsid w:val="572B04AD"/>
    <w:rsid w:val="573B36AB"/>
    <w:rsid w:val="576E0B58"/>
    <w:rsid w:val="57720192"/>
    <w:rsid w:val="57771CBB"/>
    <w:rsid w:val="57827EBD"/>
    <w:rsid w:val="57DF501C"/>
    <w:rsid w:val="58096E6F"/>
    <w:rsid w:val="582D1AC4"/>
    <w:rsid w:val="586C6990"/>
    <w:rsid w:val="588D112C"/>
    <w:rsid w:val="590E1D84"/>
    <w:rsid w:val="59272D23"/>
    <w:rsid w:val="595B5966"/>
    <w:rsid w:val="59937618"/>
    <w:rsid w:val="59B72D27"/>
    <w:rsid w:val="59C04459"/>
    <w:rsid w:val="59F11840"/>
    <w:rsid w:val="5A246D39"/>
    <w:rsid w:val="5A2D6255"/>
    <w:rsid w:val="5A344C5B"/>
    <w:rsid w:val="5A404F42"/>
    <w:rsid w:val="5A4910FB"/>
    <w:rsid w:val="5A586E6E"/>
    <w:rsid w:val="5A5B1261"/>
    <w:rsid w:val="5A751744"/>
    <w:rsid w:val="5AC2653B"/>
    <w:rsid w:val="5AE4544C"/>
    <w:rsid w:val="5AE747C3"/>
    <w:rsid w:val="5B0F786F"/>
    <w:rsid w:val="5B3E0ACF"/>
    <w:rsid w:val="5B4A3D91"/>
    <w:rsid w:val="5B5C25E4"/>
    <w:rsid w:val="5B774E71"/>
    <w:rsid w:val="5B86479E"/>
    <w:rsid w:val="5B9E6027"/>
    <w:rsid w:val="5BA23B0C"/>
    <w:rsid w:val="5BCC52B7"/>
    <w:rsid w:val="5C0B3189"/>
    <w:rsid w:val="5C0E651B"/>
    <w:rsid w:val="5C2442E8"/>
    <w:rsid w:val="5CB1477B"/>
    <w:rsid w:val="5CDF7D10"/>
    <w:rsid w:val="5CFF5879"/>
    <w:rsid w:val="5D2B4BB7"/>
    <w:rsid w:val="5D331B3B"/>
    <w:rsid w:val="5D4930BF"/>
    <w:rsid w:val="5D8A4F8E"/>
    <w:rsid w:val="5E1D09B1"/>
    <w:rsid w:val="5E42737D"/>
    <w:rsid w:val="5E43257A"/>
    <w:rsid w:val="5E594112"/>
    <w:rsid w:val="5E6C2D25"/>
    <w:rsid w:val="5E984F4E"/>
    <w:rsid w:val="5EE0506F"/>
    <w:rsid w:val="5F362843"/>
    <w:rsid w:val="5F63338A"/>
    <w:rsid w:val="5F6A70D2"/>
    <w:rsid w:val="5F7C130F"/>
    <w:rsid w:val="5F9472E7"/>
    <w:rsid w:val="5F9E5A83"/>
    <w:rsid w:val="600A602E"/>
    <w:rsid w:val="60230C69"/>
    <w:rsid w:val="603F2C9B"/>
    <w:rsid w:val="60527107"/>
    <w:rsid w:val="607C091B"/>
    <w:rsid w:val="60982C3C"/>
    <w:rsid w:val="60B55130"/>
    <w:rsid w:val="60BD2606"/>
    <w:rsid w:val="611412CD"/>
    <w:rsid w:val="61171764"/>
    <w:rsid w:val="611C403B"/>
    <w:rsid w:val="612C310A"/>
    <w:rsid w:val="612F7E3B"/>
    <w:rsid w:val="61687FE2"/>
    <w:rsid w:val="616F1523"/>
    <w:rsid w:val="61807FF6"/>
    <w:rsid w:val="61AA735E"/>
    <w:rsid w:val="61E86642"/>
    <w:rsid w:val="621A3574"/>
    <w:rsid w:val="62AB7D14"/>
    <w:rsid w:val="62B97337"/>
    <w:rsid w:val="62E01977"/>
    <w:rsid w:val="62E95975"/>
    <w:rsid w:val="62F507BA"/>
    <w:rsid w:val="630A29FC"/>
    <w:rsid w:val="6323360B"/>
    <w:rsid w:val="63613472"/>
    <w:rsid w:val="63681B9C"/>
    <w:rsid w:val="63D262A7"/>
    <w:rsid w:val="63D8455C"/>
    <w:rsid w:val="63ED76B4"/>
    <w:rsid w:val="64643702"/>
    <w:rsid w:val="64B03B59"/>
    <w:rsid w:val="64E06A1A"/>
    <w:rsid w:val="64E351D7"/>
    <w:rsid w:val="64FF45CD"/>
    <w:rsid w:val="6537655B"/>
    <w:rsid w:val="654A1320"/>
    <w:rsid w:val="65681D1D"/>
    <w:rsid w:val="65856911"/>
    <w:rsid w:val="65D331FF"/>
    <w:rsid w:val="65DC1578"/>
    <w:rsid w:val="663B75F8"/>
    <w:rsid w:val="668C02C9"/>
    <w:rsid w:val="66A8173D"/>
    <w:rsid w:val="66CF4A15"/>
    <w:rsid w:val="66F50CAA"/>
    <w:rsid w:val="67194E2F"/>
    <w:rsid w:val="676A6A91"/>
    <w:rsid w:val="67784575"/>
    <w:rsid w:val="67DB6000"/>
    <w:rsid w:val="67E8480C"/>
    <w:rsid w:val="68015A0E"/>
    <w:rsid w:val="68171E00"/>
    <w:rsid w:val="681B3870"/>
    <w:rsid w:val="68910E56"/>
    <w:rsid w:val="68AB1D64"/>
    <w:rsid w:val="68C826A0"/>
    <w:rsid w:val="68F21E64"/>
    <w:rsid w:val="694F7499"/>
    <w:rsid w:val="69746D83"/>
    <w:rsid w:val="69C14CC0"/>
    <w:rsid w:val="69C223F9"/>
    <w:rsid w:val="69DD1477"/>
    <w:rsid w:val="69E4021A"/>
    <w:rsid w:val="69EA7815"/>
    <w:rsid w:val="6A3833A6"/>
    <w:rsid w:val="6A6F5EEB"/>
    <w:rsid w:val="6AA1241B"/>
    <w:rsid w:val="6ADC1DEB"/>
    <w:rsid w:val="6AE00BC1"/>
    <w:rsid w:val="6B23238E"/>
    <w:rsid w:val="6B38463A"/>
    <w:rsid w:val="6B3A1344"/>
    <w:rsid w:val="6B8148DE"/>
    <w:rsid w:val="6BDB41A3"/>
    <w:rsid w:val="6BE60AD2"/>
    <w:rsid w:val="6C2D2B5A"/>
    <w:rsid w:val="6C461D15"/>
    <w:rsid w:val="6C784B83"/>
    <w:rsid w:val="6C7B529C"/>
    <w:rsid w:val="6C7C2784"/>
    <w:rsid w:val="6C8A10F7"/>
    <w:rsid w:val="6C991530"/>
    <w:rsid w:val="6CA84F28"/>
    <w:rsid w:val="6CAC6D99"/>
    <w:rsid w:val="6CC3543E"/>
    <w:rsid w:val="6CDC3B2B"/>
    <w:rsid w:val="6CDF1EAF"/>
    <w:rsid w:val="6CE63799"/>
    <w:rsid w:val="6D21511E"/>
    <w:rsid w:val="6D2F3BBD"/>
    <w:rsid w:val="6D7B7A66"/>
    <w:rsid w:val="6D905698"/>
    <w:rsid w:val="6DA61A64"/>
    <w:rsid w:val="6DAC530E"/>
    <w:rsid w:val="6DBD0949"/>
    <w:rsid w:val="6DCA209B"/>
    <w:rsid w:val="6E1603CB"/>
    <w:rsid w:val="6E577091"/>
    <w:rsid w:val="6E84034D"/>
    <w:rsid w:val="6F0D1E43"/>
    <w:rsid w:val="6F1E0D5A"/>
    <w:rsid w:val="6F2E04E4"/>
    <w:rsid w:val="6F493520"/>
    <w:rsid w:val="6F682080"/>
    <w:rsid w:val="6FA12229"/>
    <w:rsid w:val="6FC22B46"/>
    <w:rsid w:val="6FDC7143"/>
    <w:rsid w:val="6FE45653"/>
    <w:rsid w:val="70554341"/>
    <w:rsid w:val="7089404F"/>
    <w:rsid w:val="70AF1C7C"/>
    <w:rsid w:val="70CB3CC9"/>
    <w:rsid w:val="70D6700E"/>
    <w:rsid w:val="71272110"/>
    <w:rsid w:val="719D793C"/>
    <w:rsid w:val="71BC5F4C"/>
    <w:rsid w:val="71D42690"/>
    <w:rsid w:val="71FE35D0"/>
    <w:rsid w:val="72512AA3"/>
    <w:rsid w:val="727A42CD"/>
    <w:rsid w:val="72E31C10"/>
    <w:rsid w:val="73310E11"/>
    <w:rsid w:val="73710DE8"/>
    <w:rsid w:val="738B6ECD"/>
    <w:rsid w:val="740D39D4"/>
    <w:rsid w:val="74183D26"/>
    <w:rsid w:val="742A1457"/>
    <w:rsid w:val="743069D9"/>
    <w:rsid w:val="749D7B69"/>
    <w:rsid w:val="74F32128"/>
    <w:rsid w:val="75652953"/>
    <w:rsid w:val="75910C1A"/>
    <w:rsid w:val="75934016"/>
    <w:rsid w:val="75C84817"/>
    <w:rsid w:val="75CB0ECB"/>
    <w:rsid w:val="75E7418D"/>
    <w:rsid w:val="76071FAE"/>
    <w:rsid w:val="76131444"/>
    <w:rsid w:val="762A7C7A"/>
    <w:rsid w:val="76645525"/>
    <w:rsid w:val="768160B1"/>
    <w:rsid w:val="773B151D"/>
    <w:rsid w:val="774E6988"/>
    <w:rsid w:val="774E6BCF"/>
    <w:rsid w:val="7772562A"/>
    <w:rsid w:val="780A14FB"/>
    <w:rsid w:val="780E4292"/>
    <w:rsid w:val="781666A4"/>
    <w:rsid w:val="781E6760"/>
    <w:rsid w:val="78413F3B"/>
    <w:rsid w:val="7875223D"/>
    <w:rsid w:val="78B27F3E"/>
    <w:rsid w:val="78B758DC"/>
    <w:rsid w:val="78C91827"/>
    <w:rsid w:val="78DC27C9"/>
    <w:rsid w:val="793A7663"/>
    <w:rsid w:val="799F2BDF"/>
    <w:rsid w:val="79B07D84"/>
    <w:rsid w:val="79C54F96"/>
    <w:rsid w:val="7A0E3BAD"/>
    <w:rsid w:val="7A1816D7"/>
    <w:rsid w:val="7A6779ED"/>
    <w:rsid w:val="7A7F1552"/>
    <w:rsid w:val="7A8F2184"/>
    <w:rsid w:val="7AB279F2"/>
    <w:rsid w:val="7AE65844"/>
    <w:rsid w:val="7B3159C3"/>
    <w:rsid w:val="7B5C3EFD"/>
    <w:rsid w:val="7B7873A1"/>
    <w:rsid w:val="7B9D1504"/>
    <w:rsid w:val="7BE34C4E"/>
    <w:rsid w:val="7C3E49BC"/>
    <w:rsid w:val="7C403B9E"/>
    <w:rsid w:val="7C5D3006"/>
    <w:rsid w:val="7C993F7F"/>
    <w:rsid w:val="7CBE27BE"/>
    <w:rsid w:val="7CC5604D"/>
    <w:rsid w:val="7CD3558A"/>
    <w:rsid w:val="7CE27CFF"/>
    <w:rsid w:val="7CEF5346"/>
    <w:rsid w:val="7D9F149E"/>
    <w:rsid w:val="7DD34743"/>
    <w:rsid w:val="7DF12D8F"/>
    <w:rsid w:val="7DF52673"/>
    <w:rsid w:val="7E14633A"/>
    <w:rsid w:val="7E8F6CAE"/>
    <w:rsid w:val="7F0167D8"/>
    <w:rsid w:val="7F6B0553"/>
    <w:rsid w:val="7F857CDD"/>
    <w:rsid w:val="7F8F3199"/>
    <w:rsid w:val="7FD465F2"/>
    <w:rsid w:val="7FE0209D"/>
    <w:rsid w:val="7FE75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等线" w:cs="Times New Roman"/>
      <w:kern w:val="2"/>
      <w:sz w:val="21"/>
      <w:lang w:val="en-US" w:eastAsia="zh-CN" w:bidi="ar-SA"/>
    </w:rPr>
  </w:style>
  <w:style w:type="character" w:default="1" w:styleId="14">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Indent"/>
    <w:basedOn w:val="1"/>
    <w:qFormat/>
    <w:uiPriority w:val="0"/>
    <w:pPr>
      <w:ind w:firstLine="576"/>
    </w:pPr>
    <w:rPr>
      <w:rFonts w:ascii="仿宋_GB2312" w:eastAsia="仿宋_GB2312"/>
      <w:sz w:val="28"/>
      <w:szCs w:val="24"/>
    </w:rPr>
  </w:style>
  <w:style w:type="paragraph" w:styleId="4">
    <w:name w:val="Plain Text"/>
    <w:basedOn w:val="1"/>
    <w:link w:val="18"/>
    <w:qFormat/>
    <w:uiPriority w:val="99"/>
    <w:rPr>
      <w:rFonts w:ascii="宋体" w:hAnsi="Courier New"/>
    </w:rPr>
  </w:style>
  <w:style w:type="paragraph" w:styleId="5">
    <w:name w:val="Date"/>
    <w:basedOn w:val="1"/>
    <w:next w:val="1"/>
    <w:qFormat/>
    <w:uiPriority w:val="0"/>
    <w:pPr>
      <w:adjustRightInd w:val="0"/>
      <w:spacing w:line="312" w:lineRule="atLeast"/>
      <w:jc w:val="right"/>
      <w:textAlignment w:val="baseline"/>
    </w:pPr>
    <w:rPr>
      <w:kern w:val="0"/>
    </w:rPr>
  </w:style>
  <w:style w:type="paragraph" w:styleId="6">
    <w:name w:val="Balloon Text"/>
    <w:basedOn w:val="1"/>
    <w:semiHidden/>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2"/>
    <w:next w:val="2"/>
    <w:link w:val="21"/>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Table Classic 1"/>
    <w:basedOn w:val="11"/>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15">
    <w:name w:val="Hyperlink"/>
    <w:qFormat/>
    <w:uiPriority w:val="0"/>
    <w:rPr>
      <w:color w:val="0000FF"/>
      <w:u w:val="single"/>
    </w:rPr>
  </w:style>
  <w:style w:type="character" w:styleId="16">
    <w:name w:val="annotation reference"/>
    <w:qFormat/>
    <w:uiPriority w:val="0"/>
    <w:rPr>
      <w:sz w:val="21"/>
      <w:szCs w:val="21"/>
    </w:rPr>
  </w:style>
  <w:style w:type="character" w:customStyle="1" w:styleId="17">
    <w:name w:val="批注文字 字符"/>
    <w:link w:val="2"/>
    <w:qFormat/>
    <w:uiPriority w:val="0"/>
    <w:rPr>
      <w:kern w:val="2"/>
      <w:sz w:val="21"/>
    </w:rPr>
  </w:style>
  <w:style w:type="character" w:customStyle="1" w:styleId="18">
    <w:name w:val="纯文本 字符"/>
    <w:link w:val="4"/>
    <w:qFormat/>
    <w:uiPriority w:val="99"/>
    <w:rPr>
      <w:rFonts w:ascii="宋体" w:hAnsi="Courier New"/>
      <w:kern w:val="2"/>
      <w:sz w:val="21"/>
    </w:rPr>
  </w:style>
  <w:style w:type="character" w:customStyle="1" w:styleId="19">
    <w:name w:val="页脚 字符"/>
    <w:link w:val="7"/>
    <w:qFormat/>
    <w:uiPriority w:val="0"/>
    <w:rPr>
      <w:kern w:val="2"/>
      <w:sz w:val="18"/>
      <w:szCs w:val="18"/>
    </w:rPr>
  </w:style>
  <w:style w:type="character" w:customStyle="1" w:styleId="20">
    <w:name w:val="页眉 字符"/>
    <w:link w:val="8"/>
    <w:qFormat/>
    <w:uiPriority w:val="0"/>
    <w:rPr>
      <w:kern w:val="2"/>
      <w:sz w:val="18"/>
      <w:szCs w:val="18"/>
    </w:rPr>
  </w:style>
  <w:style w:type="character" w:customStyle="1" w:styleId="21">
    <w:name w:val="批注主题 字符"/>
    <w:link w:val="10"/>
    <w:qFormat/>
    <w:uiPriority w:val="0"/>
    <w:rPr>
      <w:b/>
      <w:bCs/>
      <w:kern w:val="2"/>
      <w:sz w:val="21"/>
    </w:rPr>
  </w:style>
  <w:style w:type="paragraph" w:customStyle="1" w:styleId="22">
    <w:name w:val="CM3"/>
    <w:basedOn w:val="1"/>
    <w:next w:val="1"/>
    <w:qFormat/>
    <w:uiPriority w:val="0"/>
    <w:pPr>
      <w:autoSpaceDE w:val="0"/>
      <w:autoSpaceDN w:val="0"/>
      <w:adjustRightInd w:val="0"/>
      <w:spacing w:after="468"/>
      <w:jc w:val="left"/>
    </w:pPr>
    <w:rPr>
      <w:rFonts w:ascii="宋体"/>
      <w:kern w:val="0"/>
      <w:sz w:val="24"/>
      <w:szCs w:val="24"/>
    </w:rPr>
  </w:style>
  <w:style w:type="paragraph" w:customStyle="1" w:styleId="23">
    <w:name w:val="Char Char Char Char Char Char Char Char Char"/>
    <w:basedOn w:val="1"/>
    <w:qFormat/>
    <w:uiPriority w:val="0"/>
    <w:pPr>
      <w:numPr>
        <w:ilvl w:val="0"/>
        <w:numId w:val="1"/>
      </w:numPr>
    </w:pPr>
    <w:rPr>
      <w:sz w:val="24"/>
      <w:szCs w:val="24"/>
    </w:rPr>
  </w:style>
  <w:style w:type="paragraph" w:customStyle="1" w:styleId="24">
    <w:name w:val="CM2"/>
    <w:basedOn w:val="1"/>
    <w:next w:val="1"/>
    <w:qFormat/>
    <w:uiPriority w:val="0"/>
    <w:pPr>
      <w:autoSpaceDE w:val="0"/>
      <w:autoSpaceDN w:val="0"/>
      <w:adjustRightInd w:val="0"/>
      <w:spacing w:line="511" w:lineRule="atLeast"/>
      <w:jc w:val="left"/>
    </w:pPr>
    <w:rPr>
      <w:rFonts w:ascii="宋体"/>
      <w:kern w:val="0"/>
      <w:sz w:val="24"/>
      <w:szCs w:val="24"/>
    </w:rPr>
  </w:style>
  <w:style w:type="paragraph" w:customStyle="1" w:styleId="25">
    <w:name w:val="Default"/>
    <w:qFormat/>
    <w:uiPriority w:val="0"/>
    <w:pPr>
      <w:widowControl w:val="0"/>
      <w:autoSpaceDE w:val="0"/>
      <w:autoSpaceDN w:val="0"/>
      <w:adjustRightInd w:val="0"/>
    </w:pPr>
    <w:rPr>
      <w:rFonts w:ascii="宋体" w:hAnsi="Calibri" w:eastAsia="等线" w:cs="宋体"/>
      <w:color w:val="000000"/>
      <w:sz w:val="24"/>
      <w:szCs w:val="24"/>
      <w:lang w:val="en-US" w:eastAsia="zh-CN" w:bidi="ar-SA"/>
    </w:rPr>
  </w:style>
  <w:style w:type="character" w:customStyle="1" w:styleId="26">
    <w:name w:val="fontstyle01"/>
    <w:qFormat/>
    <w:uiPriority w:val="0"/>
    <w:rPr>
      <w:rFonts w:hint="eastAsia" w:ascii="宋体" w:hAnsi="宋体" w:eastAsia="宋体"/>
      <w:color w:val="000000"/>
      <w:sz w:val="24"/>
      <w:szCs w:val="24"/>
    </w:rPr>
  </w:style>
  <w:style w:type="paragraph" w:customStyle="1" w:styleId="27">
    <w:name w:val="CM11"/>
    <w:basedOn w:val="1"/>
    <w:next w:val="1"/>
    <w:qFormat/>
    <w:uiPriority w:val="0"/>
    <w:pPr>
      <w:autoSpaceDE w:val="0"/>
      <w:autoSpaceDN w:val="0"/>
      <w:adjustRightInd w:val="0"/>
      <w:spacing w:line="626" w:lineRule="atLeast"/>
      <w:jc w:val="left"/>
    </w:pPr>
    <w:rPr>
      <w:rFonts w:ascii="仿宋_GB2312" w:eastAsia="仿宋_GB2312"/>
      <w:kern w:val="0"/>
      <w:sz w:val="24"/>
      <w:szCs w:val="24"/>
    </w:rPr>
  </w:style>
  <w:style w:type="paragraph" w:customStyle="1" w:styleId="28">
    <w:name w:val="CM10"/>
    <w:basedOn w:val="25"/>
    <w:next w:val="25"/>
    <w:qFormat/>
    <w:uiPriority w:val="0"/>
    <w:pPr>
      <w:spacing w:after="723"/>
    </w:pPr>
    <w:rPr>
      <w:rFonts w:ascii="黑体" w:hAnsi="Times New Roman" w:eastAsia="黑体" w:cs="Times New Roman"/>
      <w:color w:val="auto"/>
    </w:rPr>
  </w:style>
  <w:style w:type="paragraph" w:styleId="29">
    <w:name w:val="List Paragraph"/>
    <w:basedOn w:val="1"/>
    <w:qFormat/>
    <w:uiPriority w:val="34"/>
    <w:pPr>
      <w:ind w:firstLine="420" w:firstLineChars="200"/>
    </w:pPr>
  </w:style>
  <w:style w:type="paragraph" w:customStyle="1" w:styleId="30">
    <w:name w:val="_Style 29"/>
    <w:unhideWhenUsed/>
    <w:qFormat/>
    <w:uiPriority w:val="99"/>
    <w:rPr>
      <w:rFonts w:ascii="Times New Roman" w:hAnsi="Times New Roman" w:eastAsia="等线"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62239-7D26-4C65-8203-DCA2F63D043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330</Words>
  <Characters>1882</Characters>
  <Lines>15</Lines>
  <Paragraphs>4</Paragraphs>
  <TotalTime>10</TotalTime>
  <ScaleCrop>false</ScaleCrop>
  <LinksUpToDate>false</LinksUpToDate>
  <CharactersWithSpaces>2208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2018-04-09T06:33:00Z</dcterms:created>
  <dc:creator>qw</dc:creator>
  <cp:lastModifiedBy>P194919</cp:lastModifiedBy>
  <cp:lastPrinted>2017-05-27T01:49:00Z</cp:lastPrinted>
  <dcterms:modified xsi:type="dcterms:W3CDTF">2025-04-23T11:24:51Z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426E3178421044E48DCDE37279813C89_13</vt:lpwstr>
  </property>
</Properties>
</file>